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77C6" w:rsidP="3F07FE83" w:rsidRDefault="00A377C6" w14:paraId="108354F0" w14:textId="6CB6CD08">
      <w:pPr>
        <w:pStyle w:val="Title"/>
        <w:jc w:val="center"/>
        <w:rPr>
          <w:color w:val="0F4761" w:themeColor="accent1" w:themeShade="BF"/>
          <w:sz w:val="40"/>
          <w:szCs w:val="40"/>
        </w:rPr>
      </w:pPr>
      <w:r>
        <w:t>7</w:t>
      </w:r>
      <w:r w:rsidR="361D30C0">
        <w:t>6</w:t>
      </w:r>
      <w:r w:rsidRPr="3F07FE83">
        <w:rPr>
          <w:vertAlign w:val="superscript"/>
        </w:rPr>
        <w:t>th</w:t>
      </w:r>
      <w:r>
        <w:t xml:space="preserve"> </w:t>
      </w:r>
      <w:r w:rsidR="12FE5534">
        <w:t>Harry E. Salzberg Memorial Lecture</w:t>
      </w:r>
      <w:r>
        <w:br/>
      </w:r>
      <w:r w:rsidRPr="3F07FE83" w:rsidR="12FE5534">
        <w:rPr>
          <w:rStyle w:val="Heading1Char"/>
        </w:rPr>
        <w:t xml:space="preserve">Academic Day Honoring </w:t>
      </w:r>
      <w:r w:rsidRPr="3F07FE83" w:rsidR="1B6AF62A">
        <w:rPr>
          <w:rStyle w:val="Heading1Char"/>
        </w:rPr>
        <w:t>Georgia Perakis</w:t>
      </w:r>
    </w:p>
    <w:p w:rsidR="12FE5534" w:rsidP="60F17E34" w:rsidRDefault="1B6AF62A" w14:paraId="2F725AA4" w14:textId="74DEF8BA">
      <w:pPr>
        <w:pStyle w:val="Subtitle"/>
        <w:jc w:val="center"/>
        <w:rPr>
          <w:rFonts w:ascii="Calibri" w:hAnsi="Calibri" w:eastAsia="Calibri" w:cs="Calibri"/>
          <w:b/>
          <w:bCs/>
          <w:sz w:val="22"/>
          <w:szCs w:val="22"/>
        </w:rPr>
      </w:pPr>
      <w:r>
        <w:t>Novem</w:t>
      </w:r>
      <w:r w:rsidR="12FE5534">
        <w:t xml:space="preserve">ber </w:t>
      </w:r>
      <w:r>
        <w:t>1</w:t>
      </w:r>
      <w:r w:rsidR="12FE5534">
        <w:t>4, 202</w:t>
      </w:r>
      <w:r w:rsidR="00A377C6">
        <w:t>4</w:t>
      </w:r>
      <w:r w:rsidR="12FE5534">
        <w:t xml:space="preserve"> </w:t>
      </w:r>
    </w:p>
    <w:p w:rsidR="12FE5534" w:rsidP="60F17E34" w:rsidRDefault="12FE5534" w14:paraId="244DCD32" w14:textId="7FD68850">
      <w:pPr>
        <w:pStyle w:val="Subtitle"/>
        <w:jc w:val="center"/>
        <w:rPr>
          <w:rFonts w:ascii="Calibri" w:hAnsi="Calibri" w:eastAsia="Calibri" w:cs="Calibri"/>
          <w:b w:val="1"/>
          <w:bCs w:val="1"/>
          <w:sz w:val="22"/>
          <w:szCs w:val="22"/>
        </w:rPr>
      </w:pPr>
      <w:r w:rsidR="12FE5534">
        <w:rPr/>
        <w:t>9</w:t>
      </w:r>
      <w:r w:rsidR="008542FB">
        <w:rPr/>
        <w:t xml:space="preserve">:00 </w:t>
      </w:r>
      <w:r w:rsidR="12FE5534">
        <w:rPr/>
        <w:t>A</w:t>
      </w:r>
      <w:r w:rsidR="47732BED">
        <w:rPr/>
        <w:t>.</w:t>
      </w:r>
      <w:r w:rsidR="12FE5534">
        <w:rPr/>
        <w:t>M</w:t>
      </w:r>
      <w:r w:rsidR="47732BED">
        <w:rPr/>
        <w:t>.</w:t>
      </w:r>
      <w:r w:rsidR="12FE5534">
        <w:rPr/>
        <w:t xml:space="preserve"> – </w:t>
      </w:r>
      <w:r w:rsidR="008542FB">
        <w:rPr/>
        <w:t>4</w:t>
      </w:r>
      <w:r w:rsidR="12FE5534">
        <w:rPr/>
        <w:t>:</w:t>
      </w:r>
      <w:r w:rsidR="008542FB">
        <w:rPr/>
        <w:t>0</w:t>
      </w:r>
      <w:r w:rsidR="12FE5534">
        <w:rPr/>
        <w:t>0 P</w:t>
      </w:r>
      <w:r w:rsidR="0C7A8439">
        <w:rPr/>
        <w:t>.</w:t>
      </w:r>
      <w:r w:rsidR="12FE5534">
        <w:rPr/>
        <w:t>M</w:t>
      </w:r>
      <w:r w:rsidR="0C7A8439">
        <w:rPr/>
        <w:t>.</w:t>
      </w:r>
      <w:r w:rsidR="12FE5534">
        <w:rPr/>
        <w:t xml:space="preserve">   </w:t>
      </w:r>
    </w:p>
    <w:p w:rsidR="0018641F" w:rsidP="60F17E34" w:rsidRDefault="12FE5534" w14:paraId="18253B56" w14:textId="223A1FD0">
      <w:pPr>
        <w:pStyle w:val="Subtitle"/>
        <w:jc w:val="center"/>
        <w:sectPr w:rsidR="0018641F">
          <w:pgSz w:w="12240" w:h="15840" w:orient="portrait"/>
          <w:pgMar w:top="1440" w:right="1440" w:bottom="1440" w:left="1440" w:header="720" w:footer="720" w:gutter="0"/>
          <w:cols w:space="720"/>
          <w:docGrid w:linePitch="360"/>
        </w:sectPr>
      </w:pPr>
      <w:r>
        <w:t>Whitman School of Management, Syracuse University</w:t>
      </w:r>
      <w:r>
        <w:br/>
      </w:r>
      <w:r w:rsidRPr="6AC0F7E9" w:rsidR="429A9107">
        <w:rPr>
          <w:color w:val="FF0000"/>
          <w:sz w:val="20"/>
          <w:szCs w:val="20"/>
        </w:rPr>
        <w:t>Official speaker order and talk titles/abstracts coming soon</w:t>
      </w:r>
    </w:p>
    <w:p w:rsidRPr="00CD252C" w:rsidR="60F17E34" w:rsidP="483CE112" w:rsidRDefault="3571A4AE" w14:paraId="7F30863E" w14:textId="7CD90B0F">
      <w:pPr>
        <w:rPr>
          <w:rFonts w:ascii="Calibri" w:hAnsi="Calibri" w:eastAsia="Calibri" w:cs="Calibri"/>
          <w:b/>
          <w:bCs/>
          <w:sz w:val="28"/>
          <w:szCs w:val="28"/>
        </w:rPr>
      </w:pPr>
      <w:r w:rsidRPr="00CD252C">
        <w:rPr>
          <w:rFonts w:ascii="Calibri" w:hAnsi="Calibri" w:eastAsia="Calibri" w:cs="Calibri"/>
          <w:b/>
          <w:bCs/>
          <w:sz w:val="28"/>
          <w:szCs w:val="28"/>
        </w:rPr>
        <w:t>Georgia Perakis</w:t>
      </w:r>
    </w:p>
    <w:p w:rsidRPr="00CD252C" w:rsidR="60F17E34" w:rsidP="483CE112" w:rsidRDefault="3571A4AE" w14:paraId="5C1130A8" w14:textId="5B0C109B">
      <w:pPr>
        <w:pStyle w:val="ListParagraph"/>
        <w:spacing w:after="0"/>
        <w:ind w:left="0"/>
        <w:rPr>
          <w:rFonts w:ascii="Times New Roman" w:hAnsi="Times New Roman" w:eastAsia="Times New Roman" w:cs="Times New Roman"/>
          <w:color w:val="272727"/>
          <w:sz w:val="22"/>
          <w:szCs w:val="22"/>
        </w:rPr>
      </w:pPr>
      <w:r w:rsidRPr="00CD252C">
        <w:rPr>
          <w:rFonts w:ascii="Times New Roman" w:hAnsi="Times New Roman" w:eastAsia="Times New Roman" w:cs="Times New Roman"/>
          <w:color w:val="272727"/>
          <w:sz w:val="22"/>
          <w:szCs w:val="22"/>
        </w:rPr>
        <w:t>John C Head III Dean (Interim), MIT Sloan School of Management</w:t>
      </w:r>
    </w:p>
    <w:p w:rsidRPr="00CD252C" w:rsidR="60F17E34" w:rsidP="483CE112" w:rsidRDefault="3571A4AE" w14:paraId="0343E689" w14:textId="4E4AD9A8">
      <w:pPr>
        <w:pStyle w:val="ListParagraph"/>
        <w:spacing w:after="0"/>
        <w:ind w:left="0"/>
        <w:rPr>
          <w:rFonts w:ascii="Times New Roman" w:hAnsi="Times New Roman" w:eastAsia="Times New Roman" w:cs="Times New Roman"/>
          <w:color w:val="272727"/>
          <w:sz w:val="22"/>
          <w:szCs w:val="22"/>
        </w:rPr>
      </w:pPr>
      <w:r w:rsidRPr="00CD252C">
        <w:rPr>
          <w:rFonts w:ascii="Times New Roman" w:hAnsi="Times New Roman" w:eastAsia="Times New Roman" w:cs="Times New Roman"/>
          <w:color w:val="272727"/>
          <w:sz w:val="22"/>
          <w:szCs w:val="22"/>
        </w:rPr>
        <w:t>William F. Pounds Professor of Management</w:t>
      </w:r>
    </w:p>
    <w:p w:rsidRPr="00CD252C" w:rsidR="60F17E34" w:rsidP="483CE112" w:rsidRDefault="3571A4AE" w14:paraId="06C1D38A" w14:textId="311305B0">
      <w:pPr>
        <w:pStyle w:val="ListParagraph"/>
        <w:spacing w:after="0"/>
        <w:ind w:left="0"/>
        <w:rPr>
          <w:rFonts w:ascii="Times New Roman" w:hAnsi="Times New Roman" w:eastAsia="Times New Roman" w:cs="Times New Roman"/>
          <w:color w:val="272727"/>
          <w:sz w:val="22"/>
          <w:szCs w:val="22"/>
        </w:rPr>
      </w:pPr>
      <w:r w:rsidRPr="00CD252C">
        <w:rPr>
          <w:rFonts w:ascii="Times New Roman" w:hAnsi="Times New Roman" w:eastAsia="Times New Roman" w:cs="Times New Roman"/>
          <w:color w:val="272727"/>
          <w:sz w:val="22"/>
          <w:szCs w:val="22"/>
        </w:rPr>
        <w:t>Professor, Operations Management</w:t>
      </w:r>
    </w:p>
    <w:p w:rsidRPr="00CD252C" w:rsidR="60F17E34" w:rsidP="483CE112" w:rsidRDefault="3571A4AE" w14:paraId="0E7FF5FB" w14:textId="576F6B32">
      <w:pPr>
        <w:pStyle w:val="ListParagraph"/>
        <w:spacing w:after="0"/>
        <w:ind w:left="0"/>
        <w:rPr>
          <w:rFonts w:ascii="Times New Roman" w:hAnsi="Times New Roman" w:eastAsia="Times New Roman" w:cs="Times New Roman"/>
          <w:color w:val="272727"/>
          <w:sz w:val="22"/>
          <w:szCs w:val="22"/>
        </w:rPr>
      </w:pPr>
      <w:r w:rsidRPr="00CD252C">
        <w:rPr>
          <w:rFonts w:ascii="Times New Roman" w:hAnsi="Times New Roman" w:eastAsia="Times New Roman" w:cs="Times New Roman"/>
          <w:color w:val="272727"/>
          <w:sz w:val="22"/>
          <w:szCs w:val="22"/>
        </w:rPr>
        <w:t>Professor, Operations Research and Statistics</w:t>
      </w:r>
    </w:p>
    <w:p w:rsidRPr="00CD252C" w:rsidR="60F17E34" w:rsidP="483CE112" w:rsidRDefault="2C5163E5" w14:paraId="1F99EE54" w14:textId="7CDAAECE">
      <w:pPr>
        <w:rPr>
          <w:sz w:val="22"/>
          <w:szCs w:val="22"/>
        </w:rPr>
      </w:pPr>
      <w:hyperlink r:id="rId8">
        <w:r w:rsidRPr="00CD252C">
          <w:rPr>
            <w:rStyle w:val="Hyperlink"/>
            <w:sz w:val="22"/>
            <w:szCs w:val="22"/>
          </w:rPr>
          <w:t>https://mitsloan.mit.edu/faculty/directory/georgia-perakis</w:t>
        </w:r>
      </w:hyperlink>
      <w:r w:rsidRPr="00CD252C">
        <w:rPr>
          <w:sz w:val="22"/>
          <w:szCs w:val="22"/>
        </w:rPr>
        <w:t xml:space="preserve"> </w:t>
      </w:r>
    </w:p>
    <w:p w:rsidRPr="00CD252C" w:rsidR="00D24195" w:rsidP="483CE112" w:rsidRDefault="75C31BEA" w14:paraId="0B39C11C" w14:textId="45D1398E">
      <w:pPr>
        <w:rPr>
          <w:rFonts w:ascii="Calibri" w:hAnsi="Calibri" w:eastAsia="Calibri" w:cs="Calibri"/>
          <w:b/>
          <w:bCs/>
          <w:color w:val="000000" w:themeColor="text1"/>
          <w:sz w:val="28"/>
          <w:szCs w:val="28"/>
        </w:rPr>
      </w:pPr>
      <w:r w:rsidRPr="00CD252C">
        <w:rPr>
          <w:rFonts w:ascii="Calibri" w:hAnsi="Calibri" w:eastAsia="Calibri" w:cs="Calibri"/>
          <w:b/>
          <w:bCs/>
          <w:color w:val="000000" w:themeColor="text1"/>
          <w:sz w:val="28"/>
          <w:szCs w:val="28"/>
        </w:rPr>
        <w:t xml:space="preserve">Joline </w:t>
      </w:r>
      <w:proofErr w:type="spellStart"/>
      <w:r w:rsidRPr="00CD252C">
        <w:rPr>
          <w:rFonts w:ascii="Calibri" w:hAnsi="Calibri" w:eastAsia="Calibri" w:cs="Calibri"/>
          <w:b/>
          <w:bCs/>
          <w:color w:val="000000" w:themeColor="text1"/>
          <w:sz w:val="28"/>
          <w:szCs w:val="28"/>
        </w:rPr>
        <w:t>Uichanco</w:t>
      </w:r>
      <w:proofErr w:type="spellEnd"/>
    </w:p>
    <w:p w:rsidRPr="00CD252C" w:rsidR="00D24195" w:rsidP="483CE112" w:rsidRDefault="787B2C4A" w14:paraId="2BBEF5A8" w14:textId="536475D8">
      <w:pPr>
        <w:rPr>
          <w:rFonts w:ascii="Times New Roman" w:hAnsi="Times New Roman" w:eastAsia="Times New Roman" w:cs="Times New Roman"/>
          <w:color w:val="000000" w:themeColor="text1"/>
          <w:sz w:val="22"/>
          <w:szCs w:val="22"/>
        </w:rPr>
      </w:pPr>
      <w:r w:rsidRPr="00CD252C">
        <w:rPr>
          <w:rFonts w:ascii="Times New Roman" w:hAnsi="Times New Roman" w:eastAsia="Times New Roman" w:cs="Times New Roman"/>
          <w:sz w:val="22"/>
          <w:szCs w:val="22"/>
        </w:rPr>
        <w:t>Associate Professor of Technology Management and Innovation</w:t>
      </w:r>
      <w:r w:rsidRPr="00CD252C">
        <w:rPr>
          <w:sz w:val="28"/>
          <w:szCs w:val="28"/>
        </w:rPr>
        <w:br/>
      </w:r>
      <w:r w:rsidRPr="00CD252C">
        <w:rPr>
          <w:rFonts w:ascii="Times New Roman" w:hAnsi="Times New Roman" w:eastAsia="Times New Roman" w:cs="Times New Roman"/>
          <w:sz w:val="22"/>
          <w:szCs w:val="22"/>
        </w:rPr>
        <w:t>NYU Tandon School of Engineering</w:t>
      </w:r>
      <w:r w:rsidRPr="00CD252C">
        <w:rPr>
          <w:sz w:val="28"/>
          <w:szCs w:val="28"/>
        </w:rPr>
        <w:br/>
      </w:r>
      <w:hyperlink r:id="rId9">
        <w:r w:rsidRPr="00CD252C">
          <w:rPr>
            <w:rStyle w:val="Hyperlink"/>
            <w:rFonts w:ascii="Times New Roman" w:hAnsi="Times New Roman" w:eastAsia="Times New Roman" w:cs="Times New Roman"/>
            <w:sz w:val="22"/>
            <w:szCs w:val="22"/>
          </w:rPr>
          <w:t>https://engineering.nyu.edu/faculty/joline-uichanco</w:t>
        </w:r>
      </w:hyperlink>
      <w:r w:rsidRPr="00CD252C">
        <w:rPr>
          <w:rFonts w:ascii="Times New Roman" w:hAnsi="Times New Roman" w:eastAsia="Times New Roman" w:cs="Times New Roman"/>
          <w:color w:val="000000" w:themeColor="text1"/>
          <w:sz w:val="22"/>
          <w:szCs w:val="22"/>
        </w:rPr>
        <w:t xml:space="preserve"> </w:t>
      </w:r>
    </w:p>
    <w:p w:rsidRPr="00CD252C" w:rsidR="00D24195" w:rsidP="483CE112" w:rsidRDefault="2FEC42F5" w14:paraId="2C9CC0A4" w14:textId="14605556">
      <w:pPr>
        <w:rPr>
          <w:rFonts w:ascii="Calibri" w:hAnsi="Calibri" w:eastAsia="Calibri" w:cs="Calibri"/>
          <w:b/>
          <w:bCs/>
          <w:color w:val="000000" w:themeColor="text1"/>
          <w:sz w:val="28"/>
          <w:szCs w:val="28"/>
        </w:rPr>
      </w:pPr>
      <w:r w:rsidRPr="00CD252C">
        <w:rPr>
          <w:rFonts w:ascii="Calibri" w:hAnsi="Calibri" w:eastAsia="Calibri" w:cs="Calibri"/>
          <w:b/>
          <w:bCs/>
          <w:color w:val="000000" w:themeColor="text1"/>
          <w:sz w:val="28"/>
          <w:szCs w:val="28"/>
        </w:rPr>
        <w:t>Wei Sun</w:t>
      </w:r>
    </w:p>
    <w:p w:rsidRPr="00CD252C" w:rsidR="00D24195" w:rsidP="483CE112" w:rsidRDefault="2FEC42F5" w14:paraId="40CC287D" w14:textId="71EAF6BC">
      <w:pPr>
        <w:rPr>
          <w:rFonts w:ascii="Times New Roman" w:hAnsi="Times New Roman" w:eastAsia="Times New Roman" w:cs="Times New Roman"/>
          <w:color w:val="000000" w:themeColor="text1"/>
          <w:sz w:val="22"/>
          <w:szCs w:val="22"/>
        </w:rPr>
      </w:pPr>
      <w:r w:rsidRPr="00CD252C">
        <w:rPr>
          <w:rFonts w:ascii="Times New Roman" w:hAnsi="Times New Roman" w:eastAsia="Times New Roman" w:cs="Times New Roman"/>
          <w:color w:val="000000" w:themeColor="text1"/>
          <w:sz w:val="22"/>
          <w:szCs w:val="22"/>
        </w:rPr>
        <w:t>Senior Research Scientist at IBM Research</w:t>
      </w:r>
      <w:r w:rsidRPr="00CD252C">
        <w:rPr>
          <w:sz w:val="28"/>
          <w:szCs w:val="28"/>
        </w:rPr>
        <w:br/>
      </w:r>
      <w:r w:rsidRPr="00CD252C">
        <w:rPr>
          <w:rFonts w:ascii="Times New Roman" w:hAnsi="Times New Roman" w:eastAsia="Times New Roman" w:cs="Times New Roman"/>
          <w:color w:val="000000" w:themeColor="text1"/>
          <w:sz w:val="22"/>
          <w:szCs w:val="22"/>
        </w:rPr>
        <w:t xml:space="preserve">Technical Assistant to David Cox, VP of AI Models at IBM Research and IBM Director of the MIT-IBM Watson AI Lab. </w:t>
      </w:r>
      <w:r w:rsidRPr="00CD252C">
        <w:rPr>
          <w:sz w:val="28"/>
          <w:szCs w:val="28"/>
        </w:rPr>
        <w:br/>
      </w:r>
      <w:hyperlink r:id="rId10">
        <w:r w:rsidRPr="00CD252C">
          <w:rPr>
            <w:rStyle w:val="Hyperlink"/>
            <w:rFonts w:ascii="Times New Roman" w:hAnsi="Times New Roman" w:eastAsia="Times New Roman" w:cs="Times New Roman"/>
            <w:sz w:val="22"/>
            <w:szCs w:val="22"/>
          </w:rPr>
          <w:t>https://research.ibm.com/people/wei-sun</w:t>
        </w:r>
      </w:hyperlink>
      <w:r w:rsidRPr="00CD252C">
        <w:rPr>
          <w:rFonts w:ascii="Times New Roman" w:hAnsi="Times New Roman" w:eastAsia="Times New Roman" w:cs="Times New Roman"/>
          <w:color w:val="000000" w:themeColor="text1"/>
          <w:sz w:val="22"/>
          <w:szCs w:val="22"/>
        </w:rPr>
        <w:t xml:space="preserve"> </w:t>
      </w:r>
    </w:p>
    <w:p w:rsidR="00CD252C" w:rsidP="483CE112" w:rsidRDefault="00CD252C" w14:paraId="7D32C479" w14:textId="77777777">
      <w:pPr>
        <w:rPr>
          <w:rFonts w:ascii="Calibri" w:hAnsi="Calibri" w:eastAsia="Calibri" w:cs="Calibri"/>
          <w:b/>
          <w:bCs/>
          <w:color w:val="000000" w:themeColor="text1"/>
          <w:sz w:val="28"/>
          <w:szCs w:val="28"/>
        </w:rPr>
      </w:pPr>
    </w:p>
    <w:p w:rsidR="00CD252C" w:rsidP="483CE112" w:rsidRDefault="00CD252C" w14:paraId="195A04EC" w14:textId="77777777">
      <w:pPr>
        <w:rPr>
          <w:rFonts w:ascii="Calibri" w:hAnsi="Calibri" w:eastAsia="Calibri" w:cs="Calibri"/>
          <w:b/>
          <w:bCs/>
          <w:color w:val="000000" w:themeColor="text1"/>
          <w:sz w:val="28"/>
          <w:szCs w:val="28"/>
        </w:rPr>
      </w:pPr>
    </w:p>
    <w:p w:rsidR="00CD252C" w:rsidP="483CE112" w:rsidRDefault="00CD252C" w14:paraId="76A3DAEF" w14:textId="77777777">
      <w:pPr>
        <w:rPr>
          <w:rFonts w:ascii="Calibri" w:hAnsi="Calibri" w:eastAsia="Calibri" w:cs="Calibri"/>
          <w:b/>
          <w:bCs/>
          <w:color w:val="000000" w:themeColor="text1"/>
          <w:sz w:val="28"/>
          <w:szCs w:val="28"/>
        </w:rPr>
      </w:pPr>
    </w:p>
    <w:p w:rsidR="00CD252C" w:rsidP="483CE112" w:rsidRDefault="00CD252C" w14:paraId="7CAD74A3" w14:textId="77777777">
      <w:pPr>
        <w:rPr>
          <w:rFonts w:ascii="Calibri" w:hAnsi="Calibri" w:eastAsia="Calibri" w:cs="Calibri"/>
          <w:b/>
          <w:bCs/>
          <w:color w:val="000000" w:themeColor="text1"/>
          <w:sz w:val="28"/>
          <w:szCs w:val="28"/>
        </w:rPr>
      </w:pPr>
    </w:p>
    <w:p w:rsidRPr="00CD252C" w:rsidR="3F07FE83" w:rsidP="483CE112" w:rsidRDefault="447AEC79" w14:paraId="29745095" w14:textId="4EB67D7D">
      <w:pPr>
        <w:rPr>
          <w:rFonts w:ascii="Calibri" w:hAnsi="Calibri" w:eastAsia="Calibri" w:cs="Calibri"/>
          <w:b/>
          <w:bCs/>
          <w:color w:val="000000" w:themeColor="text1"/>
          <w:sz w:val="28"/>
          <w:szCs w:val="28"/>
        </w:rPr>
      </w:pPr>
      <w:r w:rsidRPr="00CD252C">
        <w:rPr>
          <w:rFonts w:ascii="Calibri" w:hAnsi="Calibri" w:eastAsia="Calibri" w:cs="Calibri"/>
          <w:b/>
          <w:bCs/>
          <w:color w:val="000000" w:themeColor="text1"/>
          <w:sz w:val="28"/>
          <w:szCs w:val="28"/>
        </w:rPr>
        <w:t>Gonzalo Romero</w:t>
      </w:r>
    </w:p>
    <w:p w:rsidRPr="00CD252C" w:rsidR="3F07FE83" w:rsidP="483CE112" w:rsidRDefault="447AEC79" w14:paraId="7A3F0C0E" w14:textId="01FAF988">
      <w:pPr>
        <w:rPr>
          <w:rFonts w:ascii="Times New Roman" w:hAnsi="Times New Roman" w:eastAsia="Times New Roman" w:cs="Times New Roman"/>
          <w:color w:val="000000" w:themeColor="text1"/>
          <w:sz w:val="22"/>
          <w:szCs w:val="22"/>
        </w:rPr>
      </w:pPr>
      <w:r w:rsidRPr="00CD252C">
        <w:rPr>
          <w:rFonts w:ascii="Times New Roman" w:hAnsi="Times New Roman" w:eastAsia="Times New Roman" w:cs="Times New Roman"/>
          <w:color w:val="000000" w:themeColor="text1"/>
          <w:sz w:val="22"/>
          <w:szCs w:val="22"/>
        </w:rPr>
        <w:t>Associate Professor</w:t>
      </w:r>
      <w:r w:rsidRPr="00CD252C" w:rsidR="05D0E8AB">
        <w:rPr>
          <w:sz w:val="28"/>
          <w:szCs w:val="28"/>
        </w:rPr>
        <w:br/>
      </w:r>
      <w:r w:rsidRPr="00CD252C">
        <w:rPr>
          <w:rFonts w:ascii="Times New Roman" w:hAnsi="Times New Roman" w:eastAsia="Times New Roman" w:cs="Times New Roman"/>
          <w:color w:val="000000" w:themeColor="text1"/>
          <w:sz w:val="22"/>
          <w:szCs w:val="22"/>
        </w:rPr>
        <w:t>Operations Management and Statistics</w:t>
      </w:r>
      <w:r w:rsidRPr="00CD252C" w:rsidR="05D0E8AB">
        <w:rPr>
          <w:sz w:val="28"/>
          <w:szCs w:val="28"/>
        </w:rPr>
        <w:br/>
      </w:r>
      <w:r w:rsidRPr="00CD252C">
        <w:rPr>
          <w:rFonts w:ascii="Times New Roman" w:hAnsi="Times New Roman" w:eastAsia="Times New Roman" w:cs="Times New Roman"/>
          <w:color w:val="000000" w:themeColor="text1"/>
          <w:sz w:val="22"/>
          <w:szCs w:val="22"/>
        </w:rPr>
        <w:t>Rotman School of Management</w:t>
      </w:r>
      <w:r w:rsidRPr="00CD252C" w:rsidR="05D0E8AB">
        <w:rPr>
          <w:sz w:val="28"/>
          <w:szCs w:val="28"/>
        </w:rPr>
        <w:br/>
      </w:r>
      <w:r w:rsidRPr="00CD252C" w:rsidR="056F2E76">
        <w:rPr>
          <w:rFonts w:ascii="Times New Roman" w:hAnsi="Times New Roman" w:eastAsia="Times New Roman" w:cs="Times New Roman"/>
          <w:color w:val="000000" w:themeColor="text1"/>
          <w:sz w:val="22"/>
          <w:szCs w:val="22"/>
        </w:rPr>
        <w:t>University of Toronto</w:t>
      </w:r>
      <w:r w:rsidRPr="00CD252C" w:rsidR="05D0E8AB">
        <w:rPr>
          <w:sz w:val="28"/>
          <w:szCs w:val="28"/>
        </w:rPr>
        <w:br/>
      </w:r>
      <w:hyperlink r:id="rId11">
        <w:r w:rsidRPr="00CD252C" w:rsidR="594652BD">
          <w:rPr>
            <w:rStyle w:val="Hyperlink"/>
            <w:rFonts w:ascii="Times New Roman" w:hAnsi="Times New Roman" w:eastAsia="Times New Roman" w:cs="Times New Roman"/>
            <w:sz w:val="22"/>
            <w:szCs w:val="22"/>
          </w:rPr>
          <w:t>https://www.rotman.utoronto.ca/the-rotman-experience/our-community/people/romero-gonzalo/</w:t>
        </w:r>
      </w:hyperlink>
      <w:r w:rsidRPr="00CD252C" w:rsidR="594652BD">
        <w:rPr>
          <w:rFonts w:ascii="Times New Roman" w:hAnsi="Times New Roman" w:eastAsia="Times New Roman" w:cs="Times New Roman"/>
          <w:color w:val="000000" w:themeColor="text1"/>
          <w:sz w:val="22"/>
          <w:szCs w:val="22"/>
        </w:rPr>
        <w:t xml:space="preserve"> </w:t>
      </w:r>
    </w:p>
    <w:p w:rsidRPr="00CD252C" w:rsidR="3F07FE83" w:rsidP="483CE112" w:rsidRDefault="5E797B5F" w14:paraId="3A5EFDA3" w14:textId="49F8F58F">
      <w:pPr>
        <w:rPr>
          <w:rFonts w:ascii="Calibri" w:hAnsi="Calibri" w:eastAsia="Calibri" w:cs="Calibri"/>
          <w:b/>
          <w:bCs/>
          <w:color w:val="000000" w:themeColor="text1"/>
          <w:sz w:val="28"/>
          <w:szCs w:val="28"/>
        </w:rPr>
      </w:pPr>
      <w:r w:rsidRPr="00CD252C">
        <w:rPr>
          <w:rFonts w:ascii="Calibri" w:hAnsi="Calibri" w:eastAsia="Calibri" w:cs="Calibri"/>
          <w:b/>
          <w:bCs/>
          <w:color w:val="000000" w:themeColor="text1"/>
          <w:sz w:val="28"/>
          <w:szCs w:val="28"/>
        </w:rPr>
        <w:t>Ye Liu</w:t>
      </w:r>
    </w:p>
    <w:p w:rsidRPr="00CD252C" w:rsidR="3F07FE83" w:rsidP="483CE112" w:rsidRDefault="4E7032C0" w14:paraId="6B8E0026" w14:textId="70080D27">
      <w:pPr>
        <w:rPr>
          <w:rFonts w:ascii="Times New Roman" w:hAnsi="Times New Roman" w:eastAsia="Times New Roman" w:cs="Times New Roman"/>
          <w:color w:val="000000" w:themeColor="text1"/>
          <w:sz w:val="22"/>
          <w:szCs w:val="22"/>
        </w:rPr>
      </w:pPr>
      <w:r w:rsidRPr="00CD252C">
        <w:rPr>
          <w:rFonts w:ascii="Times New Roman" w:hAnsi="Times New Roman" w:eastAsia="Times New Roman" w:cs="Times New Roman"/>
          <w:color w:val="000000" w:themeColor="text1"/>
          <w:sz w:val="22"/>
          <w:szCs w:val="22"/>
        </w:rPr>
        <w:t>Assistant Professor</w:t>
      </w:r>
      <w:r w:rsidRPr="00CD252C" w:rsidR="00765F6C">
        <w:rPr>
          <w:rFonts w:ascii="Times New Roman" w:hAnsi="Times New Roman" w:eastAsia="Times New Roman" w:cs="Times New Roman"/>
          <w:color w:val="000000" w:themeColor="text1"/>
          <w:sz w:val="22"/>
          <w:szCs w:val="22"/>
        </w:rPr>
        <w:t xml:space="preserve"> Supply Chain Management</w:t>
      </w:r>
      <w:r w:rsidRPr="00CD252C">
        <w:rPr>
          <w:rFonts w:ascii="Times New Roman" w:hAnsi="Times New Roman" w:eastAsia="Times New Roman" w:cs="Times New Roman"/>
          <w:color w:val="000000" w:themeColor="text1"/>
          <w:sz w:val="22"/>
          <w:szCs w:val="22"/>
        </w:rPr>
        <w:t xml:space="preserve"> </w:t>
      </w:r>
      <w:r w:rsidRPr="00CD252C">
        <w:rPr>
          <w:sz w:val="28"/>
          <w:szCs w:val="28"/>
        </w:rPr>
        <w:br/>
      </w:r>
      <w:r w:rsidRPr="00CD252C" w:rsidR="06C377A0">
        <w:rPr>
          <w:rFonts w:ascii="Times New Roman" w:hAnsi="Times New Roman" w:eastAsia="Times New Roman" w:cs="Times New Roman"/>
          <w:color w:val="000000" w:themeColor="text1"/>
          <w:sz w:val="22"/>
          <w:szCs w:val="22"/>
        </w:rPr>
        <w:t>Whitman School of Management</w:t>
      </w:r>
      <w:r w:rsidRPr="00CD252C">
        <w:rPr>
          <w:sz w:val="28"/>
          <w:szCs w:val="28"/>
        </w:rPr>
        <w:br/>
      </w:r>
      <w:r w:rsidRPr="00CD252C" w:rsidR="0F02314B">
        <w:rPr>
          <w:rFonts w:ascii="Times New Roman" w:hAnsi="Times New Roman" w:eastAsia="Times New Roman" w:cs="Times New Roman"/>
          <w:color w:val="000000" w:themeColor="text1"/>
          <w:sz w:val="22"/>
          <w:szCs w:val="22"/>
        </w:rPr>
        <w:t>Syracuse University</w:t>
      </w:r>
      <w:r w:rsidRPr="00CD252C">
        <w:rPr>
          <w:sz w:val="28"/>
          <w:szCs w:val="28"/>
        </w:rPr>
        <w:br/>
      </w:r>
      <w:hyperlink r:id="rId12">
        <w:r w:rsidRPr="00CD252C" w:rsidR="3E2582D1">
          <w:rPr>
            <w:rStyle w:val="Hyperlink"/>
            <w:rFonts w:ascii="Times New Roman" w:hAnsi="Times New Roman" w:eastAsia="Times New Roman" w:cs="Times New Roman"/>
            <w:sz w:val="22"/>
            <w:szCs w:val="22"/>
          </w:rPr>
          <w:t>https://whitman.syracuse.edu/faculty-and-research/faculty-staff-directory/details/yliu623</w:t>
        </w:r>
      </w:hyperlink>
      <w:r w:rsidRPr="00CD252C" w:rsidR="3E2582D1">
        <w:rPr>
          <w:rFonts w:ascii="Times New Roman" w:hAnsi="Times New Roman" w:eastAsia="Times New Roman" w:cs="Times New Roman"/>
          <w:color w:val="000000" w:themeColor="text1"/>
          <w:sz w:val="22"/>
          <w:szCs w:val="22"/>
        </w:rPr>
        <w:t xml:space="preserve"> </w:t>
      </w:r>
    </w:p>
    <w:p w:rsidRPr="00CD252C" w:rsidR="3F07FE83" w:rsidP="483CE112" w:rsidRDefault="1E61FAAF" w14:paraId="7E4462B6" w14:textId="6EF13DEC">
      <w:pPr>
        <w:rPr>
          <w:rFonts w:ascii="Calibri" w:hAnsi="Calibri" w:eastAsia="Calibri" w:cs="Calibri"/>
          <w:b/>
          <w:bCs/>
          <w:color w:val="000000" w:themeColor="text1"/>
          <w:sz w:val="28"/>
          <w:szCs w:val="28"/>
        </w:rPr>
      </w:pPr>
      <w:r w:rsidRPr="00CD252C">
        <w:rPr>
          <w:rFonts w:ascii="Calibri" w:hAnsi="Calibri" w:eastAsia="Calibri" w:cs="Calibri"/>
          <w:b/>
          <w:bCs/>
          <w:color w:val="000000" w:themeColor="text1"/>
          <w:sz w:val="28"/>
          <w:szCs w:val="28"/>
        </w:rPr>
        <w:t>Leann Thayaparan</w:t>
      </w:r>
    </w:p>
    <w:p w:rsidRPr="00CD252C" w:rsidR="60F67504" w:rsidP="483CE112" w:rsidRDefault="60F67504" w14:paraId="10AA8E7B" w14:textId="4091CBD8">
      <w:pPr>
        <w:rPr>
          <w:rFonts w:ascii="Times New Roman" w:hAnsi="Times New Roman" w:eastAsia="Times New Roman" w:cs="Times New Roman"/>
          <w:color w:val="000000" w:themeColor="text1"/>
          <w:sz w:val="22"/>
          <w:szCs w:val="22"/>
        </w:rPr>
      </w:pPr>
      <w:r w:rsidRPr="00CD252C">
        <w:rPr>
          <w:rFonts w:ascii="Times New Roman" w:hAnsi="Times New Roman" w:eastAsia="Times New Roman" w:cs="Times New Roman"/>
          <w:color w:val="000000" w:themeColor="text1"/>
          <w:sz w:val="22"/>
          <w:szCs w:val="22"/>
        </w:rPr>
        <w:t>Assistant Professor</w:t>
      </w:r>
      <w:r w:rsidRPr="00CD252C">
        <w:rPr>
          <w:sz w:val="28"/>
          <w:szCs w:val="28"/>
        </w:rPr>
        <w:br/>
      </w:r>
      <w:r w:rsidRPr="00CD252C">
        <w:rPr>
          <w:rFonts w:ascii="Times New Roman" w:hAnsi="Times New Roman" w:eastAsia="Times New Roman" w:cs="Times New Roman"/>
          <w:color w:val="000000" w:themeColor="text1"/>
          <w:sz w:val="22"/>
          <w:szCs w:val="22"/>
        </w:rPr>
        <w:t>Carey Business School</w:t>
      </w:r>
      <w:r w:rsidRPr="00CD252C">
        <w:rPr>
          <w:sz w:val="28"/>
          <w:szCs w:val="28"/>
        </w:rPr>
        <w:br/>
      </w:r>
      <w:r w:rsidRPr="00CD252C">
        <w:rPr>
          <w:rFonts w:ascii="Times New Roman" w:hAnsi="Times New Roman" w:eastAsia="Times New Roman" w:cs="Times New Roman"/>
          <w:color w:val="000000" w:themeColor="text1"/>
          <w:sz w:val="22"/>
          <w:szCs w:val="22"/>
        </w:rPr>
        <w:t>Johns Hopkins</w:t>
      </w:r>
      <w:r w:rsidRPr="00CD252C">
        <w:rPr>
          <w:sz w:val="28"/>
          <w:szCs w:val="28"/>
        </w:rPr>
        <w:br/>
      </w:r>
      <w:hyperlink r:id="rId13">
        <w:r w:rsidRPr="00CD252C" w:rsidR="066DA719">
          <w:rPr>
            <w:rStyle w:val="Hyperlink"/>
            <w:rFonts w:ascii="Times New Roman" w:hAnsi="Times New Roman" w:eastAsia="Times New Roman" w:cs="Times New Roman"/>
            <w:sz w:val="22"/>
            <w:szCs w:val="22"/>
          </w:rPr>
          <w:t>https://carey.jhu.edu/faculty/leann-thayaparan-phd-mba</w:t>
        </w:r>
      </w:hyperlink>
    </w:p>
    <w:p w:rsidRPr="00CD252C" w:rsidR="78BB439A" w:rsidP="483CE112" w:rsidRDefault="78BB439A" w14:paraId="2F28BE6D" w14:textId="37E171CF">
      <w:pPr>
        <w:rPr>
          <w:rFonts w:ascii="Times New Roman" w:hAnsi="Times New Roman" w:eastAsia="Times New Roman" w:cs="Times New Roman"/>
          <w:b/>
          <w:bCs/>
          <w:color w:val="000000" w:themeColor="text1"/>
          <w:sz w:val="28"/>
          <w:szCs w:val="28"/>
        </w:rPr>
      </w:pPr>
      <w:r w:rsidRPr="00CD252C">
        <w:rPr>
          <w:rFonts w:ascii="Times New Roman" w:hAnsi="Times New Roman" w:eastAsia="Times New Roman" w:cs="Times New Roman"/>
          <w:b/>
          <w:bCs/>
          <w:color w:val="000000" w:themeColor="text1"/>
          <w:sz w:val="28"/>
          <w:szCs w:val="28"/>
        </w:rPr>
        <w:t>Pavithra Harsha</w:t>
      </w:r>
    </w:p>
    <w:p w:rsidRPr="00CD252C" w:rsidR="3DDA3677" w:rsidP="483CE112" w:rsidRDefault="3DDA3677" w14:paraId="4992CDCF" w14:textId="7D519BD1">
      <w:pPr>
        <w:rPr>
          <w:rFonts w:ascii="Times New Roman" w:hAnsi="Times New Roman" w:eastAsia="Times New Roman" w:cs="Times New Roman"/>
          <w:color w:val="000000" w:themeColor="text1"/>
          <w:sz w:val="22"/>
          <w:szCs w:val="22"/>
        </w:rPr>
      </w:pPr>
      <w:r w:rsidRPr="00CD252C">
        <w:rPr>
          <w:rFonts w:ascii="Times New Roman" w:hAnsi="Times New Roman" w:eastAsia="Times New Roman" w:cs="Times New Roman"/>
          <w:color w:val="000000" w:themeColor="text1"/>
          <w:sz w:val="22"/>
          <w:szCs w:val="22"/>
        </w:rPr>
        <w:t>Principal Research Scientist</w:t>
      </w:r>
      <w:r w:rsidRPr="00CD252C">
        <w:rPr>
          <w:sz w:val="28"/>
          <w:szCs w:val="28"/>
        </w:rPr>
        <w:br/>
      </w:r>
      <w:r w:rsidRPr="00CD252C" w:rsidR="04E0683D">
        <w:rPr>
          <w:rFonts w:ascii="Times New Roman" w:hAnsi="Times New Roman" w:eastAsia="Times New Roman" w:cs="Times New Roman"/>
          <w:color w:val="000000" w:themeColor="text1"/>
          <w:sz w:val="22"/>
          <w:szCs w:val="22"/>
        </w:rPr>
        <w:t>AI division of IMB T.J. Watson Research Center</w:t>
      </w:r>
      <w:r w:rsidRPr="00CD252C">
        <w:rPr>
          <w:sz w:val="28"/>
          <w:szCs w:val="28"/>
        </w:rPr>
        <w:br/>
      </w:r>
      <w:hyperlink r:id="rId14">
        <w:r w:rsidRPr="00CD252C" w:rsidR="04E0683D">
          <w:rPr>
            <w:rStyle w:val="Hyperlink"/>
            <w:rFonts w:ascii="Times New Roman" w:hAnsi="Times New Roman" w:eastAsia="Times New Roman" w:cs="Times New Roman"/>
            <w:sz w:val="22"/>
            <w:szCs w:val="22"/>
          </w:rPr>
          <w:t>https://mitsloan.mit.edu/staff/directory/pavithra-harsha</w:t>
        </w:r>
      </w:hyperlink>
      <w:r w:rsidRPr="00CD252C" w:rsidR="04E0683D">
        <w:rPr>
          <w:rFonts w:ascii="Times New Roman" w:hAnsi="Times New Roman" w:eastAsia="Times New Roman" w:cs="Times New Roman"/>
          <w:color w:val="000000" w:themeColor="text1"/>
          <w:sz w:val="22"/>
          <w:szCs w:val="22"/>
        </w:rPr>
        <w:t xml:space="preserve"> </w:t>
      </w:r>
    </w:p>
    <w:p w:rsidR="004D0F9E" w:rsidRDefault="072CA00C" w14:paraId="41637FB1" w14:textId="77777777">
      <w:pPr>
        <w:sectPr w:rsidR="004D0F9E" w:rsidSect="0018641F">
          <w:type w:val="continuous"/>
          <w:pgSz w:w="12240" w:h="15840" w:orient="portrait"/>
          <w:pgMar w:top="1440" w:right="1440" w:bottom="1440" w:left="1440" w:header="720" w:footer="720" w:gutter="0"/>
          <w:cols w:space="720" w:num="2"/>
          <w:docGrid w:linePitch="360"/>
        </w:sectPr>
      </w:pPr>
      <w:r>
        <w:br w:type="page"/>
      </w:r>
    </w:p>
    <w:p w:rsidR="04F6D2F4" w:rsidP="072CA00C" w:rsidRDefault="04F6D2F4" w14:paraId="4A98D904" w14:textId="5ED7DB67">
      <w:pPr>
        <w:rPr>
          <w:rFonts w:ascii="Calibri" w:hAnsi="Calibri" w:eastAsia="Calibri" w:cs="Calibri"/>
          <w:b/>
          <w:bCs/>
          <w:color w:val="000000" w:themeColor="text1"/>
          <w:sz w:val="20"/>
          <w:szCs w:val="20"/>
        </w:rPr>
      </w:pPr>
      <w:r w:rsidRPr="072CA00C">
        <w:rPr>
          <w:rFonts w:ascii="Calibri" w:hAnsi="Calibri" w:eastAsia="Calibri" w:cs="Calibri"/>
          <w:b/>
          <w:bCs/>
          <w:color w:val="000000" w:themeColor="text1"/>
          <w:sz w:val="20"/>
          <w:szCs w:val="20"/>
        </w:rPr>
        <w:lastRenderedPageBreak/>
        <w:t xml:space="preserve">Joline </w:t>
      </w:r>
      <w:proofErr w:type="spellStart"/>
      <w:r w:rsidRPr="072CA00C">
        <w:rPr>
          <w:rFonts w:ascii="Calibri" w:hAnsi="Calibri" w:eastAsia="Calibri" w:cs="Calibri"/>
          <w:b/>
          <w:bCs/>
          <w:color w:val="000000" w:themeColor="text1"/>
          <w:sz w:val="20"/>
          <w:szCs w:val="20"/>
        </w:rPr>
        <w:t>Uichanco</w:t>
      </w:r>
      <w:proofErr w:type="spellEnd"/>
      <w:r w:rsidRPr="072CA00C">
        <w:rPr>
          <w:rFonts w:ascii="Times New Roman" w:hAnsi="Times New Roman" w:eastAsia="Times New Roman" w:cs="Times New Roman"/>
          <w:color w:val="000000" w:themeColor="text1"/>
          <w:sz w:val="20"/>
          <w:szCs w:val="20"/>
        </w:rPr>
        <w:t xml:space="preserve"> </w:t>
      </w:r>
    </w:p>
    <w:p w:rsidR="04F6D2F4" w:rsidP="072CA00C" w:rsidRDefault="04F6D2F4" w14:paraId="4DB6ACAD" w14:textId="3C1D2F24">
      <w:pPr>
        <w:spacing w:before="240" w:after="240"/>
        <w:rPr>
          <w:rFonts w:ascii="Times New Roman" w:hAnsi="Times New Roman" w:eastAsia="Times New Roman" w:cs="Times New Roman"/>
          <w:color w:val="000000" w:themeColor="text1"/>
          <w:sz w:val="20"/>
          <w:szCs w:val="20"/>
        </w:rPr>
      </w:pPr>
      <w:r w:rsidRPr="072CA00C">
        <w:rPr>
          <w:rFonts w:ascii="Times New Roman" w:hAnsi="Times New Roman" w:eastAsia="Times New Roman" w:cs="Times New Roman"/>
          <w:color w:val="000000" w:themeColor="text1"/>
          <w:sz w:val="20"/>
          <w:szCs w:val="20"/>
        </w:rPr>
        <w:t>Title: Understanding Consumer Choice for Smarter Pricing and Assortment Decisions</w:t>
      </w:r>
    </w:p>
    <w:p w:rsidR="04F6D2F4" w:rsidP="072CA00C" w:rsidRDefault="04F6D2F4" w14:paraId="73E72B00" w14:textId="044A711E">
      <w:pPr>
        <w:spacing w:before="240" w:after="240"/>
      </w:pPr>
      <w:r w:rsidRPr="072CA00C">
        <w:rPr>
          <w:rFonts w:ascii="Times New Roman" w:hAnsi="Times New Roman" w:eastAsia="Times New Roman" w:cs="Times New Roman"/>
          <w:color w:val="000000" w:themeColor="text1"/>
          <w:sz w:val="20"/>
          <w:szCs w:val="20"/>
        </w:rPr>
        <w:t>Abstract</w:t>
      </w:r>
    </w:p>
    <w:p w:rsidR="04F6D2F4" w:rsidP="072CA00C" w:rsidRDefault="04F6D2F4" w14:paraId="1D3365C3" w14:textId="03364698">
      <w:pPr>
        <w:spacing w:before="240" w:after="240"/>
      </w:pPr>
      <w:r w:rsidRPr="072CA00C">
        <w:rPr>
          <w:rFonts w:ascii="Times New Roman" w:hAnsi="Times New Roman" w:eastAsia="Times New Roman" w:cs="Times New Roman"/>
          <w:color w:val="000000" w:themeColor="text1"/>
          <w:sz w:val="20"/>
          <w:szCs w:val="20"/>
        </w:rPr>
        <w:t>Consumer choice models provide a foundation for predicting demand and guiding decisions in retail, from pricing to assortment design. Classical models such as the multinomial logit have been widely used because of their tractability, but they impose restrictive assumptions on substitution patterns. In this talk, I will present insights from my research on decision making under consumer choice models, including extensions that capture sequential search and product framing effects. I will also share findings on the marginal distribution model, which relaxes the need to know the full joint distribution of choices. By focusing only on marginal distributions, this framework allows for more flexible and data-compatible representations of substitution behavior. Together, these examples illustrate how modeling consumer choice leads to sharper demand predictions and more effective operational decisions.</w:t>
      </w:r>
    </w:p>
    <w:p w:rsidR="6C69A645" w:rsidP="6C69A645" w:rsidRDefault="6C69A645" w14:paraId="59DEE93E" w14:textId="102BA43C">
      <w:pPr>
        <w:ind w:left="720"/>
        <w:rPr>
          <w:rFonts w:ascii="Times New Roman" w:hAnsi="Times New Roman" w:eastAsia="Times New Roman" w:cs="Times New Roman"/>
          <w:color w:val="000000" w:themeColor="text1"/>
          <w:sz w:val="20"/>
          <w:szCs w:val="20"/>
        </w:rPr>
      </w:pPr>
    </w:p>
    <w:p w:rsidR="490D689E" w:rsidP="6C69A645" w:rsidRDefault="490D689E" w14:paraId="36D6B97A" w14:textId="1A08EA05">
      <w:pPr>
        <w:rPr>
          <w:rFonts w:ascii="Times New Roman" w:hAnsi="Times New Roman" w:eastAsia="Times New Roman" w:cs="Times New Roman"/>
          <w:b/>
          <w:bCs/>
          <w:color w:val="000000" w:themeColor="text1"/>
          <w:sz w:val="20"/>
          <w:szCs w:val="20"/>
        </w:rPr>
      </w:pPr>
      <w:r w:rsidRPr="6C69A645">
        <w:rPr>
          <w:rFonts w:ascii="Times New Roman" w:hAnsi="Times New Roman" w:eastAsia="Times New Roman" w:cs="Times New Roman"/>
          <w:b/>
          <w:bCs/>
          <w:color w:val="000000" w:themeColor="text1"/>
          <w:sz w:val="20"/>
          <w:szCs w:val="20"/>
        </w:rPr>
        <w:t>Ye Liu</w:t>
      </w:r>
    </w:p>
    <w:p w:rsidR="490D689E" w:rsidP="6C69A645" w:rsidRDefault="490D689E" w14:paraId="3BDEF3A5" w14:textId="242DDC0B">
      <w:pPr>
        <w:shd w:val="clear" w:color="auto" w:fill="FFFFFF" w:themeFill="background1"/>
        <w:spacing w:after="0"/>
        <w:rPr>
          <w:rFonts w:ascii="Times New Roman" w:hAnsi="Times New Roman" w:eastAsia="Times New Roman" w:cs="Times New Roman"/>
          <w:color w:val="000000" w:themeColor="text1"/>
          <w:sz w:val="20"/>
          <w:szCs w:val="20"/>
        </w:rPr>
      </w:pPr>
      <w:r w:rsidRPr="6C69A645">
        <w:rPr>
          <w:rFonts w:ascii="Times New Roman" w:hAnsi="Times New Roman" w:eastAsia="Times New Roman" w:cs="Times New Roman"/>
          <w:b/>
          <w:bCs/>
          <w:color w:val="000000" w:themeColor="text1"/>
          <w:sz w:val="20"/>
          <w:szCs w:val="20"/>
        </w:rPr>
        <w:t>Title:</w:t>
      </w:r>
      <w:r w:rsidRPr="6C69A645">
        <w:rPr>
          <w:rFonts w:ascii="Times New Roman" w:hAnsi="Times New Roman" w:eastAsia="Times New Roman" w:cs="Times New Roman"/>
          <w:color w:val="000000" w:themeColor="text1"/>
          <w:sz w:val="20"/>
          <w:szCs w:val="20"/>
        </w:rPr>
        <w:t xml:space="preserve"> Make Your Chatbot Price Like You Do: Identify and Customize Distributional Preferences of Large Language Models in Supply Chains</w:t>
      </w:r>
    </w:p>
    <w:p w:rsidR="490D689E" w:rsidP="6C69A645" w:rsidRDefault="490D689E" w14:paraId="06556F0A" w14:textId="6639A260">
      <w:pPr>
        <w:shd w:val="clear" w:color="auto" w:fill="FFFFFF" w:themeFill="background1"/>
        <w:spacing w:after="0"/>
        <w:rPr>
          <w:rFonts w:ascii="Times New Roman" w:hAnsi="Times New Roman" w:eastAsia="Times New Roman" w:cs="Times New Roman"/>
          <w:b/>
          <w:bCs/>
          <w:color w:val="000000" w:themeColor="text1"/>
          <w:sz w:val="20"/>
          <w:szCs w:val="20"/>
        </w:rPr>
      </w:pPr>
      <w:r w:rsidRPr="6C69A645">
        <w:rPr>
          <w:rFonts w:ascii="Times New Roman" w:hAnsi="Times New Roman" w:eastAsia="Times New Roman" w:cs="Times New Roman"/>
          <w:b/>
          <w:bCs/>
          <w:color w:val="000000" w:themeColor="text1"/>
          <w:sz w:val="20"/>
          <w:szCs w:val="20"/>
        </w:rPr>
        <w:t xml:space="preserve">Abstract: </w:t>
      </w:r>
    </w:p>
    <w:p w:rsidR="490D689E" w:rsidP="6C69A645" w:rsidRDefault="490D689E" w14:paraId="0C2E26F2" w14:textId="29746D53">
      <w:pPr>
        <w:shd w:val="clear" w:color="auto" w:fill="FFFFFF" w:themeFill="background1"/>
        <w:spacing w:after="0"/>
        <w:rPr>
          <w:rFonts w:ascii="Times New Roman" w:hAnsi="Times New Roman" w:eastAsia="Times New Roman" w:cs="Times New Roman"/>
          <w:color w:val="000000" w:themeColor="text1"/>
          <w:sz w:val="20"/>
          <w:szCs w:val="20"/>
        </w:rPr>
      </w:pPr>
      <w:r w:rsidRPr="0E70CC4D">
        <w:rPr>
          <w:rFonts w:ascii="Times New Roman" w:hAnsi="Times New Roman" w:eastAsia="Times New Roman" w:cs="Times New Roman"/>
          <w:color w:val="000000" w:themeColor="text1"/>
          <w:sz w:val="20"/>
          <w:szCs w:val="20"/>
        </w:rPr>
        <w:t xml:space="preserve">Companies increasingly use large language model (LLM) agents for decision-making in various business processes, including supply chain procurement. How an LLM agent sets the price in a supply chain transaction, however, depends on its hidden traits, such as its self-interest level and preferences between achieving high efficiency or high fairness. Our paper examines these embedded distributional preferences of GPT-4o, Llama-4 Maverick, and the reasoning model GPT-o3 in a supply chain. We show that the type of </w:t>
      </w:r>
      <w:proofErr w:type="gramStart"/>
      <w:r w:rsidRPr="0E70CC4D">
        <w:rPr>
          <w:rFonts w:ascii="Times New Roman" w:hAnsi="Times New Roman" w:eastAsia="Times New Roman" w:cs="Times New Roman"/>
          <w:color w:val="000000" w:themeColor="text1"/>
          <w:sz w:val="20"/>
          <w:szCs w:val="20"/>
        </w:rPr>
        <w:t>decisions</w:t>
      </w:r>
      <w:proofErr w:type="gramEnd"/>
      <w:r w:rsidRPr="0E70CC4D">
        <w:rPr>
          <w:rFonts w:ascii="Times New Roman" w:hAnsi="Times New Roman" w:eastAsia="Times New Roman" w:cs="Times New Roman"/>
          <w:color w:val="000000" w:themeColor="text1"/>
          <w:sz w:val="20"/>
          <w:szCs w:val="20"/>
        </w:rPr>
        <w:t xml:space="preserve"> an LLM makes plays a significant role in shaping its distributional preferences. While a simple persona change from human to supplier or buyer reduces all LLMs' self-interest level, making pricing decisions as a firm increases it. Descriptions of supply chain relationships can customize all LLMs' distributional preferences, but to different extents. GPT-4o and Llama-4 have a strong "personality", with GPT-4o making the most balanced decisions and Llama-4 the most selfish GPT-o3, on the other hand, is the most customizable and may resemble GPT-4o or Llama-4. We find that while concrete descriptions lead to similar and intuitive changes in all LLMs, generic descriptions such as "good relationship" lead to diverging results for GPT and Llama LLMs, making the former more fairness-minded and the latter more </w:t>
      </w:r>
      <w:proofErr w:type="gramStart"/>
      <w:r w:rsidRPr="0E70CC4D">
        <w:rPr>
          <w:rFonts w:ascii="Times New Roman" w:hAnsi="Times New Roman" w:eastAsia="Times New Roman" w:cs="Times New Roman"/>
          <w:color w:val="000000" w:themeColor="text1"/>
          <w:sz w:val="20"/>
          <w:szCs w:val="20"/>
        </w:rPr>
        <w:t>efficiency</w:t>
      </w:r>
      <w:proofErr w:type="gramEnd"/>
      <w:r w:rsidRPr="0E70CC4D">
        <w:rPr>
          <w:rFonts w:ascii="Times New Roman" w:hAnsi="Times New Roman" w:eastAsia="Times New Roman" w:cs="Times New Roman"/>
          <w:color w:val="000000" w:themeColor="text1"/>
          <w:sz w:val="20"/>
          <w:szCs w:val="20"/>
        </w:rPr>
        <w:t xml:space="preserve">-driven. For a firm, the same relationship description applied to the same LLM may lead to opposite profit share outcomes depending on whether it is </w:t>
      </w:r>
      <w:proofErr w:type="gramStart"/>
      <w:r w:rsidRPr="0E70CC4D">
        <w:rPr>
          <w:rFonts w:ascii="Times New Roman" w:hAnsi="Times New Roman" w:eastAsia="Times New Roman" w:cs="Times New Roman"/>
          <w:color w:val="000000" w:themeColor="text1"/>
          <w:sz w:val="20"/>
          <w:szCs w:val="20"/>
        </w:rPr>
        <w:t>more or less financially</w:t>
      </w:r>
      <w:proofErr w:type="gramEnd"/>
      <w:r w:rsidRPr="0E70CC4D">
        <w:rPr>
          <w:rFonts w:ascii="Times New Roman" w:hAnsi="Times New Roman" w:eastAsia="Times New Roman" w:cs="Times New Roman"/>
          <w:color w:val="000000" w:themeColor="text1"/>
          <w:sz w:val="20"/>
          <w:szCs w:val="20"/>
        </w:rPr>
        <w:t xml:space="preserve"> constrained than its counterparty. Our research provides guidance on the characterization and design of LLM tools in supply chains.</w:t>
      </w:r>
    </w:p>
    <w:p w:rsidR="0E70CC4D" w:rsidP="0E70CC4D" w:rsidRDefault="0E70CC4D" w14:paraId="404C864E" w14:textId="5144CA39">
      <w:pPr>
        <w:shd w:val="clear" w:color="auto" w:fill="FFFFFF" w:themeFill="background1"/>
        <w:spacing w:after="0"/>
        <w:rPr>
          <w:rFonts w:ascii="Times New Roman" w:hAnsi="Times New Roman" w:eastAsia="Times New Roman" w:cs="Times New Roman"/>
          <w:color w:val="000000" w:themeColor="text1"/>
          <w:sz w:val="20"/>
          <w:szCs w:val="20"/>
        </w:rPr>
      </w:pPr>
    </w:p>
    <w:p w:rsidR="0E70CC4D" w:rsidP="0E70CC4D" w:rsidRDefault="0E70CC4D" w14:paraId="572EDD36" w14:textId="36025248">
      <w:pPr>
        <w:shd w:val="clear" w:color="auto" w:fill="FFFFFF" w:themeFill="background1"/>
        <w:spacing w:after="0"/>
        <w:rPr>
          <w:rFonts w:ascii="Aptos" w:hAnsi="Aptos" w:eastAsia="Aptos" w:cs="Aptos"/>
          <w:b/>
          <w:bCs/>
          <w:color w:val="000000" w:themeColor="text1"/>
        </w:rPr>
      </w:pPr>
    </w:p>
    <w:p w:rsidR="0E70CC4D" w:rsidP="0E70CC4D" w:rsidRDefault="0E70CC4D" w14:paraId="1DB5E1C8" w14:textId="602B8CF6">
      <w:pPr>
        <w:rPr>
          <w:rFonts w:ascii="Calibri" w:hAnsi="Calibri" w:eastAsia="Calibri" w:cs="Calibri"/>
          <w:b/>
          <w:bCs/>
          <w:color w:val="000000" w:themeColor="text1"/>
          <w:sz w:val="20"/>
          <w:szCs w:val="20"/>
        </w:rPr>
      </w:pPr>
    </w:p>
    <w:p w:rsidR="0E70CC4D" w:rsidRDefault="0E70CC4D" w14:paraId="02451F00" w14:textId="5E50AD4E">
      <w:r>
        <w:br w:type="page"/>
      </w:r>
    </w:p>
    <w:p w:rsidR="064A7366" w:rsidP="0E70CC4D" w:rsidRDefault="064A7366" w14:paraId="747517E4" w14:textId="63066EFF">
      <w:pPr>
        <w:rPr>
          <w:rFonts w:ascii="Calibri" w:hAnsi="Calibri" w:eastAsia="Calibri" w:cs="Calibri"/>
          <w:b/>
          <w:bCs/>
          <w:color w:val="000000" w:themeColor="text1"/>
          <w:sz w:val="20"/>
          <w:szCs w:val="20"/>
        </w:rPr>
      </w:pPr>
      <w:r w:rsidRPr="0E70CC4D">
        <w:rPr>
          <w:rFonts w:ascii="Calibri" w:hAnsi="Calibri" w:eastAsia="Calibri" w:cs="Calibri"/>
          <w:b/>
          <w:bCs/>
          <w:color w:val="000000" w:themeColor="text1"/>
          <w:sz w:val="20"/>
          <w:szCs w:val="20"/>
        </w:rPr>
        <w:lastRenderedPageBreak/>
        <w:t>Leann Thayaparan</w:t>
      </w:r>
      <w:r w:rsidRPr="0E70CC4D">
        <w:rPr>
          <w:rFonts w:ascii="Aptos" w:hAnsi="Aptos" w:eastAsia="Aptos" w:cs="Aptos"/>
          <w:b/>
          <w:bCs/>
          <w:color w:val="000000" w:themeColor="text1"/>
        </w:rPr>
        <w:t xml:space="preserve"> </w:t>
      </w:r>
    </w:p>
    <w:p w:rsidR="064A7366" w:rsidP="0E70CC4D" w:rsidRDefault="064A7366" w14:paraId="3F3A8D72" w14:textId="67DF5878">
      <w:pPr>
        <w:shd w:val="clear" w:color="auto" w:fill="FFFFFF" w:themeFill="background1"/>
        <w:spacing w:after="0"/>
        <w:rPr>
          <w:rFonts w:ascii="Times New Roman" w:hAnsi="Times New Roman" w:eastAsia="Times New Roman" w:cs="Times New Roman"/>
          <w:color w:val="000000" w:themeColor="text1"/>
          <w:sz w:val="20"/>
          <w:szCs w:val="20"/>
        </w:rPr>
      </w:pPr>
      <w:r w:rsidRPr="0E70CC4D">
        <w:rPr>
          <w:rFonts w:ascii="Times New Roman" w:hAnsi="Times New Roman" w:eastAsia="Times New Roman" w:cs="Times New Roman"/>
          <w:b/>
          <w:bCs/>
          <w:color w:val="000000" w:themeColor="text1"/>
          <w:sz w:val="20"/>
          <w:szCs w:val="20"/>
        </w:rPr>
        <w:t xml:space="preserve">Title: </w:t>
      </w:r>
      <w:r w:rsidRPr="0E70CC4D">
        <w:rPr>
          <w:rFonts w:ascii="Times New Roman" w:hAnsi="Times New Roman" w:eastAsia="Times New Roman" w:cs="Times New Roman"/>
          <w:color w:val="000000" w:themeColor="text1"/>
          <w:sz w:val="20"/>
          <w:szCs w:val="20"/>
        </w:rPr>
        <w:t>The Role of Driver Behavior and Interpretability in Distributed Renewable Energy Storage</w:t>
      </w:r>
    </w:p>
    <w:p w:rsidR="0E70CC4D" w:rsidP="0E70CC4D" w:rsidRDefault="0E70CC4D" w14:paraId="7BFA81B8" w14:textId="26F97DBC">
      <w:pPr>
        <w:shd w:val="clear" w:color="auto" w:fill="FFFFFF" w:themeFill="background1"/>
        <w:spacing w:after="0"/>
        <w:rPr>
          <w:rFonts w:ascii="Times New Roman" w:hAnsi="Times New Roman" w:eastAsia="Times New Roman" w:cs="Times New Roman"/>
          <w:sz w:val="20"/>
          <w:szCs w:val="20"/>
        </w:rPr>
      </w:pPr>
    </w:p>
    <w:p w:rsidR="064A7366" w:rsidP="0E70CC4D" w:rsidRDefault="064A7366" w14:paraId="3C71A16E" w14:textId="6919D8AA">
      <w:pPr>
        <w:shd w:val="clear" w:color="auto" w:fill="FFFFFF" w:themeFill="background1"/>
        <w:spacing w:after="0"/>
        <w:rPr>
          <w:rFonts w:ascii="Times New Roman" w:hAnsi="Times New Roman" w:eastAsia="Times New Roman" w:cs="Times New Roman"/>
          <w:b/>
          <w:bCs/>
          <w:color w:val="000000" w:themeColor="text1"/>
          <w:sz w:val="20"/>
          <w:szCs w:val="20"/>
        </w:rPr>
      </w:pPr>
      <w:r w:rsidRPr="0E70CC4D">
        <w:rPr>
          <w:rFonts w:ascii="Times New Roman" w:hAnsi="Times New Roman" w:eastAsia="Times New Roman" w:cs="Times New Roman"/>
          <w:b/>
          <w:bCs/>
          <w:color w:val="000000" w:themeColor="text1"/>
          <w:sz w:val="20"/>
          <w:szCs w:val="20"/>
        </w:rPr>
        <w:t xml:space="preserve">Abstract: </w:t>
      </w:r>
    </w:p>
    <w:p w:rsidR="064A7366" w:rsidP="0E70CC4D" w:rsidRDefault="064A7366" w14:paraId="028D68B4" w14:textId="0CAFF921">
      <w:pPr>
        <w:shd w:val="clear" w:color="auto" w:fill="FFFFFF" w:themeFill="background1"/>
        <w:spacing w:after="0"/>
        <w:rPr>
          <w:rFonts w:ascii="Times New Roman" w:hAnsi="Times New Roman" w:eastAsia="Times New Roman" w:cs="Times New Roman"/>
          <w:color w:val="000000" w:themeColor="text1"/>
          <w:sz w:val="20"/>
          <w:szCs w:val="20"/>
        </w:rPr>
      </w:pPr>
      <w:r w:rsidRPr="0E70CC4D">
        <w:rPr>
          <w:rFonts w:ascii="Times New Roman" w:hAnsi="Times New Roman" w:eastAsia="Times New Roman" w:cs="Times New Roman"/>
          <w:color w:val="000000" w:themeColor="text1"/>
          <w:sz w:val="20"/>
          <w:szCs w:val="20"/>
        </w:rPr>
        <w:t xml:space="preserve">As we move towards more renewable resources, the need for energy storage increases. Electric Vehicles (EVs) are a way of providing a distributed energy storage resource to the electric grid. However, before EVs can be used to support energy inventory, through optimal EV charging and discharging, highly complex, non-linear driver behavior must be accounted for. In this work, we propose a driver-centric dynamic programming (DP) model for the charging and discharging of EVs. We show that the policies this model gives rise to are easy to communicate, allowing for easier adoption. We determine regimes under which optimal polices have the required structural properties and can be solved in closed form. Finally, through a close collaboration with a large American EV manufacturer, we apply the proposed DP formulation and policies to real de-identified driver data. Using this DP model our industry collaborator is assessing how much capacity EVs </w:t>
      </w:r>
      <w:proofErr w:type="gramStart"/>
      <w:r w:rsidRPr="0E70CC4D">
        <w:rPr>
          <w:rFonts w:ascii="Times New Roman" w:hAnsi="Times New Roman" w:eastAsia="Times New Roman" w:cs="Times New Roman"/>
          <w:color w:val="000000" w:themeColor="text1"/>
          <w:sz w:val="20"/>
          <w:szCs w:val="20"/>
        </w:rPr>
        <w:t>have to</w:t>
      </w:r>
      <w:proofErr w:type="gramEnd"/>
      <w:r w:rsidRPr="0E70CC4D">
        <w:rPr>
          <w:rFonts w:ascii="Times New Roman" w:hAnsi="Times New Roman" w:eastAsia="Times New Roman" w:cs="Times New Roman"/>
          <w:color w:val="000000" w:themeColor="text1"/>
          <w:sz w:val="20"/>
          <w:szCs w:val="20"/>
        </w:rPr>
        <w:t xml:space="preserve"> potentially power a home or give back to the grid. Through this collaboration, we quantify not just the savings that individual drivers can earn from participating but also show the capacity EV’s </w:t>
      </w:r>
      <w:proofErr w:type="gramStart"/>
      <w:r w:rsidRPr="0E70CC4D">
        <w:rPr>
          <w:rFonts w:ascii="Times New Roman" w:hAnsi="Times New Roman" w:eastAsia="Times New Roman" w:cs="Times New Roman"/>
          <w:color w:val="000000" w:themeColor="text1"/>
          <w:sz w:val="20"/>
          <w:szCs w:val="20"/>
        </w:rPr>
        <w:t>have to</w:t>
      </w:r>
      <w:proofErr w:type="gramEnd"/>
      <w:r w:rsidRPr="0E70CC4D">
        <w:rPr>
          <w:rFonts w:ascii="Times New Roman" w:hAnsi="Times New Roman" w:eastAsia="Times New Roman" w:cs="Times New Roman"/>
          <w:color w:val="000000" w:themeColor="text1"/>
          <w:sz w:val="20"/>
          <w:szCs w:val="20"/>
        </w:rPr>
        <w:t xml:space="preserve"> act as inventory for the grid.</w:t>
      </w:r>
    </w:p>
    <w:p w:rsidR="0E70CC4D" w:rsidP="0E70CC4D" w:rsidRDefault="0E70CC4D" w14:paraId="7E5FF910" w14:textId="02007F9C">
      <w:pPr>
        <w:shd w:val="clear" w:color="auto" w:fill="FFFFFF" w:themeFill="background1"/>
        <w:spacing w:after="0"/>
        <w:rPr>
          <w:rFonts w:ascii="Times New Roman" w:hAnsi="Times New Roman" w:eastAsia="Times New Roman" w:cs="Times New Roman"/>
          <w:color w:val="000000" w:themeColor="text1"/>
          <w:sz w:val="20"/>
          <w:szCs w:val="20"/>
        </w:rPr>
      </w:pPr>
    </w:p>
    <w:p w:rsidR="004D0F9E" w:rsidP="6C69A645" w:rsidRDefault="004D0F9E" w14:paraId="5A3A1168" w14:textId="77777777">
      <w:pPr>
        <w:rPr>
          <w:rFonts w:ascii="Times New Roman" w:hAnsi="Times New Roman" w:eastAsia="Times New Roman" w:cs="Times New Roman"/>
          <w:color w:val="000000" w:themeColor="text1"/>
          <w:sz w:val="20"/>
          <w:szCs w:val="20"/>
        </w:rPr>
        <w:sectPr w:rsidR="004D0F9E" w:rsidSect="004D0F9E">
          <w:pgSz w:w="12240" w:h="15840" w:orient="portrait"/>
          <w:pgMar w:top="1440" w:right="1440" w:bottom="1440" w:left="1440" w:header="720" w:footer="720" w:gutter="0"/>
          <w:cols w:space="720"/>
          <w:docGrid w:linePitch="360"/>
        </w:sectPr>
      </w:pPr>
    </w:p>
    <w:p w:rsidR="072CA00C" w:rsidP="04634BB3" w:rsidRDefault="385660E6" w14:paraId="4A9062F2" w14:textId="08DD1AC9">
      <w:pPr>
        <w:rPr>
          <w:rFonts w:ascii="Times New Roman" w:hAnsi="Times New Roman" w:eastAsia="Times New Roman" w:cs="Times New Roman"/>
          <w:b/>
          <w:bCs/>
          <w:color w:val="000000" w:themeColor="text1"/>
          <w:sz w:val="20"/>
          <w:szCs w:val="20"/>
        </w:rPr>
      </w:pPr>
      <w:r w:rsidRPr="04634BB3">
        <w:rPr>
          <w:rFonts w:ascii="Times New Roman" w:hAnsi="Times New Roman" w:eastAsia="Times New Roman" w:cs="Times New Roman"/>
          <w:b/>
          <w:bCs/>
          <w:color w:val="000000" w:themeColor="text1"/>
          <w:sz w:val="20"/>
          <w:szCs w:val="20"/>
        </w:rPr>
        <w:t>Pavithra Harsha</w:t>
      </w:r>
    </w:p>
    <w:p w:rsidR="385660E6" w:rsidP="04634BB3" w:rsidRDefault="385660E6" w14:paraId="1B2A4A61" w14:textId="0BD54D7A">
      <w:pPr>
        <w:shd w:val="clear" w:color="auto" w:fill="FFFFFF" w:themeFill="background1"/>
        <w:spacing w:before="225" w:after="225"/>
        <w:rPr>
          <w:rFonts w:ascii="Times New Roman" w:hAnsi="Times New Roman" w:eastAsia="Times New Roman" w:cs="Times New Roman"/>
          <w:color w:val="000000" w:themeColor="text1"/>
          <w:sz w:val="20"/>
          <w:szCs w:val="20"/>
        </w:rPr>
      </w:pPr>
      <w:r w:rsidRPr="04634BB3">
        <w:rPr>
          <w:rFonts w:ascii="Times New Roman" w:hAnsi="Times New Roman" w:eastAsia="Times New Roman" w:cs="Times New Roman"/>
          <w:b/>
          <w:bCs/>
          <w:color w:val="000000" w:themeColor="text1"/>
          <w:sz w:val="20"/>
          <w:szCs w:val="20"/>
        </w:rPr>
        <w:t>Title:</w:t>
      </w:r>
      <w:r w:rsidRPr="04634BB3">
        <w:rPr>
          <w:rFonts w:ascii="Times New Roman" w:hAnsi="Times New Roman" w:eastAsia="Times New Roman" w:cs="Times New Roman"/>
          <w:color w:val="000000" w:themeColor="text1"/>
          <w:sz w:val="20"/>
          <w:szCs w:val="20"/>
        </w:rPr>
        <w:t xml:space="preserve"> Decision-Focused AI for Real-World Operations</w:t>
      </w:r>
    </w:p>
    <w:p w:rsidR="385660E6" w:rsidP="04634BB3" w:rsidRDefault="385660E6" w14:paraId="1A45686C" w14:textId="3FF3D8AD">
      <w:pPr>
        <w:shd w:val="clear" w:color="auto" w:fill="FFFFFF" w:themeFill="background1"/>
        <w:spacing w:before="225" w:after="225"/>
        <w:rPr>
          <w:rFonts w:ascii="Times New Roman" w:hAnsi="Times New Roman" w:eastAsia="Times New Roman" w:cs="Times New Roman"/>
          <w:color w:val="000000" w:themeColor="text1"/>
          <w:sz w:val="20"/>
          <w:szCs w:val="20"/>
        </w:rPr>
      </w:pPr>
      <w:r w:rsidRPr="04634BB3">
        <w:rPr>
          <w:rFonts w:ascii="Times New Roman" w:hAnsi="Times New Roman" w:eastAsia="Times New Roman" w:cs="Times New Roman"/>
          <w:b/>
          <w:bCs/>
          <w:color w:val="000000" w:themeColor="text1"/>
          <w:sz w:val="20"/>
          <w:szCs w:val="20"/>
        </w:rPr>
        <w:t xml:space="preserve">Abstract: </w:t>
      </w:r>
    </w:p>
    <w:p w:rsidR="385660E6" w:rsidP="04634BB3" w:rsidRDefault="385660E6" w14:paraId="639649D2" w14:textId="733EFA4A">
      <w:pPr>
        <w:shd w:val="clear" w:color="auto" w:fill="FFFFFF" w:themeFill="background1"/>
        <w:spacing w:before="225" w:after="225"/>
        <w:rPr>
          <w:rFonts w:ascii="Times New Roman" w:hAnsi="Times New Roman" w:eastAsia="Times New Roman" w:cs="Times New Roman"/>
          <w:color w:val="000000" w:themeColor="text1"/>
          <w:sz w:val="20"/>
          <w:szCs w:val="20"/>
        </w:rPr>
      </w:pPr>
      <w:r w:rsidRPr="04634BB3">
        <w:rPr>
          <w:rFonts w:ascii="Times New Roman" w:hAnsi="Times New Roman" w:eastAsia="Times New Roman" w:cs="Times New Roman"/>
          <w:color w:val="000000" w:themeColor="text1"/>
          <w:sz w:val="20"/>
          <w:szCs w:val="20"/>
        </w:rPr>
        <w:t>Machine learning is increasingly used to guide operational decisions in supply chains, pricing, and recommendations. Yet improvements in predictive accuracy do not always yield proportional gains in decision outcomes. Because optimization depends on forecasts in complex, nonlinear, and often discrete ways, even small prediction errors can trigger costly shifts in the final decision space.</w:t>
      </w:r>
    </w:p>
    <w:p w:rsidR="385660E6" w:rsidP="43DF3702" w:rsidRDefault="385660E6" w14:paraId="4A71A1A6" w14:textId="50D7D321">
      <w:pPr>
        <w:shd w:val="clear" w:color="auto" w:fill="FFFFFF" w:themeFill="background1"/>
        <w:spacing w:before="225" w:after="225"/>
        <w:rPr>
          <w:rFonts w:ascii="Times New Roman" w:hAnsi="Times New Roman" w:eastAsia="Times New Roman" w:cs="Times New Roman"/>
          <w:color w:val="000000" w:themeColor="text1"/>
          <w:sz w:val="20"/>
          <w:szCs w:val="20"/>
        </w:rPr>
      </w:pPr>
      <w:r w:rsidRPr="43DF3702">
        <w:rPr>
          <w:rFonts w:ascii="Times New Roman" w:hAnsi="Times New Roman" w:eastAsia="Times New Roman" w:cs="Times New Roman"/>
          <w:color w:val="000000" w:themeColor="text1"/>
          <w:sz w:val="20"/>
          <w:szCs w:val="20"/>
        </w:rPr>
        <w:t>This talk introduces decision-focused AI, an approach that trains models directly on decision objectives rather than prediction accuracy. Using examples from pricing, electricity generation, and inventory management and fulfillment, I will highlight advances across single- and two-stage stochastic optimization problems, under both exogenous uncertainty and</w:t>
      </w:r>
      <w:r w:rsidRPr="43DF3702">
        <w:rPr>
          <w:rFonts w:ascii="Times New Roman" w:hAnsi="Times New Roman" w:eastAsia="Times New Roman" w:cs="Times New Roman"/>
          <w:b/>
          <w:bCs/>
          <w:color w:val="000000" w:themeColor="text1"/>
          <w:sz w:val="20"/>
          <w:szCs w:val="20"/>
        </w:rPr>
        <w:t xml:space="preserve"> </w:t>
      </w:r>
      <w:r w:rsidRPr="43DF3702">
        <w:rPr>
          <w:rFonts w:ascii="Times New Roman" w:hAnsi="Times New Roman" w:eastAsia="Times New Roman" w:cs="Times New Roman"/>
          <w:color w:val="000000" w:themeColor="text1"/>
          <w:sz w:val="20"/>
          <w:szCs w:val="20"/>
        </w:rPr>
        <w:t>endogenous uncertainty where decisions shape the data we observe. While these methods reduce costs and often require only point forecasts—an important practical advantage—challenges remain in computation, scalability, and interpretability. Addressing these gaps is key to building robust, decision-aware ML systems. This is joint work: Rares Cristian, Georgia Perakis and Brian Quanz</w:t>
      </w:r>
      <w:r w:rsidRPr="43DF3702" w:rsidR="3187CEBB">
        <w:rPr>
          <w:rFonts w:ascii="Times New Roman" w:hAnsi="Times New Roman" w:eastAsia="Times New Roman" w:cs="Times New Roman"/>
          <w:color w:val="000000" w:themeColor="text1"/>
          <w:sz w:val="20"/>
          <w:szCs w:val="20"/>
        </w:rPr>
        <w:t>.</w:t>
      </w:r>
    </w:p>
    <w:p w:rsidR="43DF3702" w:rsidP="43DF3702" w:rsidRDefault="43DF3702" w14:paraId="06CCBA58" w14:textId="06904F17">
      <w:pPr>
        <w:shd w:val="clear" w:color="auto" w:fill="FFFFFF" w:themeFill="background1"/>
        <w:spacing w:before="225" w:after="225"/>
        <w:rPr>
          <w:rFonts w:ascii="Times New Roman" w:hAnsi="Times New Roman" w:eastAsia="Times New Roman" w:cs="Times New Roman"/>
          <w:color w:val="000000" w:themeColor="text1"/>
          <w:sz w:val="20"/>
          <w:szCs w:val="20"/>
        </w:rPr>
      </w:pPr>
    </w:p>
    <w:p w:rsidR="3187CEBB" w:rsidP="43DF3702" w:rsidRDefault="3187CEBB" w14:paraId="7888244A" w14:textId="255944F2">
      <w:pPr>
        <w:shd w:val="clear" w:color="auto" w:fill="FFFFFF" w:themeFill="background1"/>
        <w:spacing w:before="225" w:after="225"/>
        <w:rPr>
          <w:rFonts w:ascii="Times New Roman" w:hAnsi="Times New Roman" w:eastAsia="Times New Roman" w:cs="Times New Roman"/>
          <w:b/>
          <w:bCs/>
          <w:color w:val="000000" w:themeColor="text1"/>
          <w:sz w:val="20"/>
          <w:szCs w:val="20"/>
        </w:rPr>
      </w:pPr>
      <w:r w:rsidRPr="43DF3702">
        <w:rPr>
          <w:rFonts w:ascii="Times New Roman" w:hAnsi="Times New Roman" w:eastAsia="Times New Roman" w:cs="Times New Roman"/>
          <w:b/>
          <w:bCs/>
          <w:color w:val="000000" w:themeColor="text1"/>
          <w:sz w:val="20"/>
          <w:szCs w:val="20"/>
        </w:rPr>
        <w:t>Gonzalo Romero</w:t>
      </w:r>
    </w:p>
    <w:p w:rsidR="3187CEBB" w:rsidP="43DF3702" w:rsidRDefault="3187CEBB" w14:paraId="78D801D4" w14:textId="57889269">
      <w:pPr>
        <w:shd w:val="clear" w:color="auto" w:fill="FFFFFF" w:themeFill="background1"/>
        <w:spacing w:after="0"/>
        <w:rPr>
          <w:rFonts w:ascii="Times New Roman" w:hAnsi="Times New Roman" w:eastAsia="Times New Roman" w:cs="Times New Roman"/>
          <w:b/>
          <w:bCs/>
          <w:color w:val="000000" w:themeColor="text1"/>
          <w:sz w:val="20"/>
          <w:szCs w:val="20"/>
        </w:rPr>
      </w:pPr>
      <w:r w:rsidRPr="43DF3702">
        <w:rPr>
          <w:rFonts w:ascii="Times New Roman" w:hAnsi="Times New Roman" w:eastAsia="Times New Roman" w:cs="Times New Roman"/>
          <w:b/>
          <w:bCs/>
          <w:color w:val="000000" w:themeColor="text1"/>
          <w:sz w:val="20"/>
          <w:szCs w:val="20"/>
        </w:rPr>
        <w:t xml:space="preserve">Title: </w:t>
      </w:r>
    </w:p>
    <w:p w:rsidR="3187CEBB" w:rsidP="43DF3702" w:rsidRDefault="3187CEBB" w14:paraId="6407E46D" w14:textId="533A2081">
      <w:pPr>
        <w:shd w:val="clear" w:color="auto" w:fill="FFFFFF" w:themeFill="background1"/>
        <w:spacing w:after="0"/>
        <w:rPr>
          <w:rFonts w:ascii="Times New Roman" w:hAnsi="Times New Roman" w:eastAsia="Times New Roman" w:cs="Times New Roman"/>
          <w:color w:val="000000" w:themeColor="text1"/>
          <w:sz w:val="20"/>
          <w:szCs w:val="20"/>
        </w:rPr>
      </w:pPr>
      <w:r w:rsidRPr="43DF3702">
        <w:rPr>
          <w:rFonts w:ascii="Times New Roman" w:hAnsi="Times New Roman" w:eastAsia="Times New Roman" w:cs="Times New Roman"/>
          <w:color w:val="000000" w:themeColor="text1"/>
          <w:sz w:val="20"/>
          <w:szCs w:val="20"/>
        </w:rPr>
        <w:t>Managing Payment Flexibility in Rent-to-Own Contracts for Off-Grid Energy Products</w:t>
      </w:r>
    </w:p>
    <w:p w:rsidR="3187CEBB" w:rsidP="43DF3702" w:rsidRDefault="3187CEBB" w14:paraId="15E8019A" w14:textId="1D1727A4">
      <w:pPr>
        <w:shd w:val="clear" w:color="auto" w:fill="FFFFFF" w:themeFill="background1"/>
        <w:spacing w:after="0"/>
        <w:rPr>
          <w:rFonts w:ascii="Times New Roman" w:hAnsi="Times New Roman" w:eastAsia="Times New Roman" w:cs="Times New Roman"/>
          <w:b/>
          <w:bCs/>
          <w:color w:val="000000" w:themeColor="text1"/>
          <w:sz w:val="20"/>
          <w:szCs w:val="20"/>
        </w:rPr>
      </w:pPr>
      <w:r w:rsidRPr="43DF3702">
        <w:rPr>
          <w:rFonts w:ascii="Times New Roman" w:hAnsi="Times New Roman" w:eastAsia="Times New Roman" w:cs="Times New Roman"/>
          <w:b/>
          <w:bCs/>
          <w:color w:val="000000" w:themeColor="text1"/>
          <w:sz w:val="20"/>
          <w:szCs w:val="20"/>
        </w:rPr>
        <w:t>Abstract:</w:t>
      </w:r>
    </w:p>
    <w:p w:rsidR="3187CEBB" w:rsidP="43DF3702" w:rsidRDefault="3187CEBB" w14:paraId="4E06145A" w14:textId="23C4CB03">
      <w:pPr>
        <w:shd w:val="clear" w:color="auto" w:fill="FFFFFF" w:themeFill="background1"/>
        <w:spacing w:after="0"/>
        <w:rPr>
          <w:rFonts w:ascii="Times New Roman" w:hAnsi="Times New Roman" w:eastAsia="Times New Roman" w:cs="Times New Roman"/>
          <w:color w:val="000000" w:themeColor="text1"/>
          <w:sz w:val="20"/>
          <w:szCs w:val="20"/>
        </w:rPr>
      </w:pPr>
      <w:r w:rsidRPr="43DF3702">
        <w:rPr>
          <w:rFonts w:ascii="Times New Roman" w:hAnsi="Times New Roman" w:eastAsia="Times New Roman" w:cs="Times New Roman"/>
          <w:color w:val="000000" w:themeColor="text1"/>
          <w:sz w:val="20"/>
          <w:szCs w:val="20"/>
        </w:rPr>
        <w:t xml:space="preserve">The diffusion of technological innovations in developing economies has been facilitated </w:t>
      </w:r>
      <w:proofErr w:type="gramStart"/>
      <w:r w:rsidRPr="43DF3702">
        <w:rPr>
          <w:rFonts w:ascii="Times New Roman" w:hAnsi="Times New Roman" w:eastAsia="Times New Roman" w:cs="Times New Roman"/>
          <w:color w:val="000000" w:themeColor="text1"/>
          <w:sz w:val="20"/>
          <w:szCs w:val="20"/>
        </w:rPr>
        <w:t>by the use of</w:t>
      </w:r>
      <w:proofErr w:type="gramEnd"/>
      <w:r w:rsidRPr="43DF3702">
        <w:rPr>
          <w:rFonts w:ascii="Times New Roman" w:hAnsi="Times New Roman" w:eastAsia="Times New Roman" w:cs="Times New Roman"/>
          <w:color w:val="000000" w:themeColor="text1"/>
          <w:sz w:val="20"/>
          <w:szCs w:val="20"/>
        </w:rPr>
        <w:t xml:space="preserve"> Rent-To-Own (RTO) business models, which give flexibility to consumers by allowing them to make incremental payments over time. Understanding how to best manage this flexibility is a fundamental problem for firms operating in these markets. Motivated by an application of RTO to the distribution of solar lamps in developing countries, we examine the drivers and impact of payment flexibility on repayment performance and consumer behavior in RTO contracts. We formulate a stochastic dynamic programming model that characterizes an important dimension of payment flexibility, i.e., the ability of consumers to make bundled payments (multiple installments paid at once, in advance). </w:t>
      </w:r>
      <w:r w:rsidRPr="43DF3702">
        <w:rPr>
          <w:rFonts w:ascii="Times New Roman" w:hAnsi="Times New Roman" w:eastAsia="Times New Roman" w:cs="Times New Roman"/>
          <w:color w:val="000000" w:themeColor="text1"/>
          <w:sz w:val="20"/>
          <w:szCs w:val="20"/>
        </w:rPr>
        <w:lastRenderedPageBreak/>
        <w:t xml:space="preserve">We show that consumers may bundle payments because of uncertainty about budget in future periods, which leads to a non-monotonic impact of income uncertainty on repayment performance. We further show that bundled payments are more likely to occur closer to the end of the ownership cycle. We examine different flexibility levers that the firm can adjust as part of its contract design (repayment frequency/installment amount, grace period), accounting for the impact of bundled payments. Our results show that an intermediate level of flexibility could benefit both the firm and consumers under some conditions. Whereas payment flexibility is a fundamental component of RTO contracts in the developing world, our findings indicate that a moderate level of flexibility can go a long way in helping firms and consumers in these environments. Hence, RTO firms may not need to offer extreme degrees of flexibility </w:t>
      </w:r>
      <w:proofErr w:type="gramStart"/>
      <w:r w:rsidRPr="43DF3702">
        <w:rPr>
          <w:rFonts w:ascii="Times New Roman" w:hAnsi="Times New Roman" w:eastAsia="Times New Roman" w:cs="Times New Roman"/>
          <w:color w:val="000000" w:themeColor="text1"/>
          <w:sz w:val="20"/>
          <w:szCs w:val="20"/>
        </w:rPr>
        <w:t>in order to</w:t>
      </w:r>
      <w:proofErr w:type="gramEnd"/>
      <w:r w:rsidRPr="43DF3702">
        <w:rPr>
          <w:rFonts w:ascii="Times New Roman" w:hAnsi="Times New Roman" w:eastAsia="Times New Roman" w:cs="Times New Roman"/>
          <w:color w:val="000000" w:themeColor="text1"/>
          <w:sz w:val="20"/>
          <w:szCs w:val="20"/>
        </w:rPr>
        <w:t xml:space="preserve"> achieve desirable outcomes.</w:t>
      </w:r>
    </w:p>
    <w:p w:rsidR="43DF3702" w:rsidP="43DF3702" w:rsidRDefault="43DF3702" w14:paraId="09CAFC03" w14:textId="34670D05" w14:noSpellErr="1">
      <w:pPr>
        <w:shd w:val="clear" w:color="auto" w:fill="FFFFFF" w:themeFill="background1"/>
        <w:spacing w:before="225" w:after="225"/>
        <w:rPr>
          <w:rFonts w:ascii="Times New Roman" w:hAnsi="Times New Roman" w:eastAsia="Times New Roman" w:cs="Times New Roman"/>
          <w:color w:val="000000" w:themeColor="text1"/>
          <w:sz w:val="20"/>
          <w:szCs w:val="20"/>
        </w:rPr>
      </w:pPr>
    </w:p>
    <w:p w:rsidR="069C1827" w:rsidP="468F757B" w:rsidRDefault="069C1827" w14:paraId="0791FEB4" w14:textId="530A2E23">
      <w:pPr>
        <w:shd w:val="clear" w:color="auto" w:fill="FFFFFF" w:themeFill="background1"/>
        <w:spacing w:before="225" w:after="225"/>
        <w:rPr>
          <w:rFonts w:ascii="Times New Roman" w:hAnsi="Times New Roman" w:eastAsia="Times New Roman" w:cs="Times New Roman"/>
          <w:b w:val="1"/>
          <w:bCs w:val="1"/>
          <w:color w:val="000000" w:themeColor="text1" w:themeTint="FF" w:themeShade="FF"/>
          <w:sz w:val="20"/>
          <w:szCs w:val="20"/>
        </w:rPr>
      </w:pPr>
      <w:r w:rsidRPr="468F757B" w:rsidR="069C1827">
        <w:rPr>
          <w:rFonts w:ascii="Times New Roman" w:hAnsi="Times New Roman" w:eastAsia="Times New Roman" w:cs="Times New Roman"/>
          <w:b w:val="1"/>
          <w:bCs w:val="1"/>
          <w:color w:val="000000" w:themeColor="text1" w:themeTint="FF" w:themeShade="FF"/>
          <w:sz w:val="20"/>
          <w:szCs w:val="20"/>
        </w:rPr>
        <w:t>Wei Sun</w:t>
      </w:r>
    </w:p>
    <w:p w:rsidR="069C1827" w:rsidP="468F757B" w:rsidRDefault="069C1827" w14:paraId="2846E511" w14:textId="6E686C45">
      <w:pPr>
        <w:shd w:val="clear" w:color="auto" w:fill="FFFFFF" w:themeFill="background1"/>
        <w:spacing w:before="0" w:beforeAutospacing="off" w:after="0" w:afterAutospacing="off"/>
      </w:pPr>
      <w:r w:rsidRPr="468F757B" w:rsidR="069C1827">
        <w:rPr>
          <w:rFonts w:ascii="Times New Roman" w:hAnsi="Times New Roman" w:eastAsia="Times New Roman" w:cs="Times New Roman"/>
          <w:b w:val="1"/>
          <w:bCs w:val="1"/>
          <w:i w:val="0"/>
          <w:iCs w:val="0"/>
          <w:caps w:val="0"/>
          <w:smallCaps w:val="0"/>
          <w:noProof w:val="0"/>
          <w:color w:val="242424"/>
          <w:sz w:val="20"/>
          <w:szCs w:val="20"/>
          <w:lang w:val="en-US"/>
        </w:rPr>
        <w:t>Title</w:t>
      </w:r>
      <w:r>
        <w:br/>
      </w:r>
      <w:r w:rsidRPr="468F757B" w:rsidR="069C1827">
        <w:rPr>
          <w:rFonts w:ascii="Times New Roman" w:hAnsi="Times New Roman" w:eastAsia="Times New Roman" w:cs="Times New Roman"/>
          <w:b w:val="0"/>
          <w:bCs w:val="0"/>
          <w:i w:val="0"/>
          <w:iCs w:val="0"/>
          <w:caps w:val="0"/>
          <w:smallCaps w:val="0"/>
          <w:noProof w:val="0"/>
          <w:color w:val="242424"/>
          <w:sz w:val="20"/>
          <w:szCs w:val="20"/>
          <w:lang w:val="en-US"/>
        </w:rPr>
        <w:t xml:space="preserve">Compute-Aware Routing and Test-Time Scaling: </w:t>
      </w:r>
      <w:r w:rsidRPr="468F757B" w:rsidR="069C1827">
        <w:rPr>
          <w:rFonts w:ascii="Times New Roman" w:hAnsi="Times New Roman" w:eastAsia="Times New Roman" w:cs="Times New Roman"/>
          <w:b w:val="0"/>
          <w:bCs w:val="0"/>
          <w:i w:val="0"/>
          <w:iCs w:val="0"/>
          <w:caps w:val="0"/>
          <w:smallCaps w:val="0"/>
          <w:noProof w:val="0"/>
          <w:color w:val="242424"/>
          <w:sz w:val="20"/>
          <w:szCs w:val="20"/>
          <w:lang w:val="en-US"/>
        </w:rPr>
        <w:t>Optimizing</w:t>
      </w:r>
      <w:r w:rsidRPr="468F757B" w:rsidR="069C1827">
        <w:rPr>
          <w:rFonts w:ascii="Times New Roman" w:hAnsi="Times New Roman" w:eastAsia="Times New Roman" w:cs="Times New Roman"/>
          <w:b w:val="0"/>
          <w:bCs w:val="0"/>
          <w:i w:val="0"/>
          <w:iCs w:val="0"/>
          <w:caps w:val="0"/>
          <w:smallCaps w:val="0"/>
          <w:noProof w:val="0"/>
          <w:color w:val="242424"/>
          <w:sz w:val="20"/>
          <w:szCs w:val="20"/>
          <w:lang w:val="en-US"/>
        </w:rPr>
        <w:t xml:space="preserve"> Cost-Accuracy Trade-offs</w:t>
      </w:r>
    </w:p>
    <w:p w:rsidR="069C1827" w:rsidP="468F757B" w:rsidRDefault="069C1827" w14:paraId="7EFB99E1" w14:textId="518D22D8">
      <w:pPr>
        <w:shd w:val="clear" w:color="auto" w:fill="FFFFFF" w:themeFill="background1"/>
        <w:spacing w:before="0" w:beforeAutospacing="off" w:after="0" w:afterAutospacing="off"/>
      </w:pPr>
      <w:r w:rsidRPr="468F757B" w:rsidR="069C1827">
        <w:rPr>
          <w:rFonts w:ascii="Times New Roman" w:hAnsi="Times New Roman" w:eastAsia="Times New Roman" w:cs="Times New Roman"/>
          <w:b w:val="0"/>
          <w:bCs w:val="0"/>
          <w:i w:val="0"/>
          <w:iCs w:val="0"/>
          <w:caps w:val="0"/>
          <w:smallCaps w:val="0"/>
          <w:noProof w:val="0"/>
          <w:color w:val="242424"/>
          <w:sz w:val="20"/>
          <w:szCs w:val="20"/>
          <w:lang w:val="en-US"/>
        </w:rPr>
        <w:t xml:space="preserve"> </w:t>
      </w:r>
    </w:p>
    <w:p w:rsidR="069C1827" w:rsidP="468F757B" w:rsidRDefault="069C1827" w14:paraId="56AD040C" w14:textId="1A180EC3">
      <w:pPr>
        <w:shd w:val="clear" w:color="auto" w:fill="FFFFFF" w:themeFill="background1"/>
        <w:spacing w:before="0" w:beforeAutospacing="off" w:after="0" w:afterAutospacing="off"/>
      </w:pPr>
      <w:r w:rsidRPr="468F757B" w:rsidR="069C1827">
        <w:rPr>
          <w:rFonts w:ascii="Times New Roman" w:hAnsi="Times New Roman" w:eastAsia="Times New Roman" w:cs="Times New Roman"/>
          <w:b w:val="1"/>
          <w:bCs w:val="1"/>
          <w:i w:val="0"/>
          <w:iCs w:val="0"/>
          <w:caps w:val="0"/>
          <w:smallCaps w:val="0"/>
          <w:noProof w:val="0"/>
          <w:color w:val="242424"/>
          <w:sz w:val="20"/>
          <w:szCs w:val="20"/>
          <w:lang w:val="en-US"/>
        </w:rPr>
        <w:t>Abstract</w:t>
      </w:r>
      <w:r>
        <w:br/>
      </w:r>
      <w:r w:rsidRPr="468F757B" w:rsidR="069C1827">
        <w:rPr>
          <w:rFonts w:ascii="Times New Roman" w:hAnsi="Times New Roman" w:eastAsia="Times New Roman" w:cs="Times New Roman"/>
          <w:b w:val="0"/>
          <w:bCs w:val="0"/>
          <w:i w:val="0"/>
          <w:iCs w:val="0"/>
          <w:caps w:val="0"/>
          <w:smallCaps w:val="0"/>
          <w:noProof w:val="0"/>
          <w:color w:val="242424"/>
          <w:sz w:val="20"/>
          <w:szCs w:val="20"/>
          <w:lang w:val="en-US"/>
        </w:rPr>
        <w:t>In this talk, I will describe a series of projects at the intersection of decision-making and efficient LLM inference. The first focuses on causal model routing, where we leverage observational data to minimize regret in selecting the right model or inference strategy for each query. The second centers on latency- and token-aware test-time scaling, where we dynamically allocate compute to balance accuracy with user experience and cost. Together, these projects illustrate a unified perspective on compute-aware decision-making, showing how principled optimization can guide routing and scaling policies that deliver superior accuracy-latency-cost trade-offs under real-world deployment constraints. Beyond efficiency, this line of work also highlights a path toward greater AI sustainability, ensuring that advanced inference strategies not only improve performance but also reduce computational waste and environmental footprint.</w:t>
      </w:r>
    </w:p>
    <w:p w:rsidR="468F757B" w:rsidP="468F757B" w:rsidRDefault="468F757B" w14:paraId="6B50B6CA" w14:textId="5A69BAB8">
      <w:pPr>
        <w:shd w:val="clear" w:color="auto" w:fill="FFFFFF" w:themeFill="background1"/>
        <w:spacing w:before="225" w:after="225"/>
        <w:rPr>
          <w:rFonts w:ascii="Times New Roman" w:hAnsi="Times New Roman" w:eastAsia="Times New Roman" w:cs="Times New Roman"/>
          <w:color w:val="000000" w:themeColor="text1" w:themeTint="FF" w:themeShade="FF"/>
          <w:sz w:val="20"/>
          <w:szCs w:val="20"/>
        </w:rPr>
      </w:pPr>
    </w:p>
    <w:p w:rsidR="04634BB3" w:rsidP="04634BB3" w:rsidRDefault="04634BB3" w14:paraId="52BCCEC3" w14:textId="739034B3">
      <w:pPr>
        <w:shd w:val="clear" w:color="auto" w:fill="FFFFFF" w:themeFill="background1"/>
        <w:spacing w:before="225" w:after="225"/>
        <w:rPr>
          <w:rFonts w:ascii="Segoe UI" w:hAnsi="Segoe UI" w:eastAsia="Segoe UI" w:cs="Segoe UI"/>
          <w:color w:val="000000" w:themeColor="text1"/>
          <w:sz w:val="22"/>
          <w:szCs w:val="22"/>
        </w:rPr>
      </w:pPr>
    </w:p>
    <w:p w:rsidR="04634BB3" w:rsidP="04634BB3" w:rsidRDefault="04634BB3" w14:paraId="409EAF08" w14:textId="31FE96AD">
      <w:pPr>
        <w:rPr>
          <w:rFonts w:ascii="Times New Roman" w:hAnsi="Times New Roman" w:eastAsia="Times New Roman" w:cs="Times New Roman"/>
          <w:color w:val="000000" w:themeColor="text1"/>
          <w:sz w:val="20"/>
          <w:szCs w:val="20"/>
        </w:rPr>
      </w:pPr>
    </w:p>
    <w:sectPr w:rsidR="04634BB3" w:rsidSect="004D0F9E">
      <w:type w:val="continuous"/>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0F089"/>
    <w:multiLevelType w:val="hybridMultilevel"/>
    <w:tmpl w:val="61B61884"/>
    <w:lvl w:ilvl="0" w:tplc="E2A8F38C">
      <w:start w:val="1"/>
      <w:numFmt w:val="bullet"/>
      <w:lvlText w:val=""/>
      <w:lvlJc w:val="left"/>
      <w:pPr>
        <w:ind w:left="720" w:hanging="360"/>
      </w:pPr>
      <w:rPr>
        <w:rFonts w:hint="default" w:ascii="Symbol" w:hAnsi="Symbol"/>
      </w:rPr>
    </w:lvl>
    <w:lvl w:ilvl="1" w:tplc="C40A527A">
      <w:start w:val="1"/>
      <w:numFmt w:val="bullet"/>
      <w:lvlText w:val="o"/>
      <w:lvlJc w:val="left"/>
      <w:pPr>
        <w:ind w:left="1440" w:hanging="360"/>
      </w:pPr>
      <w:rPr>
        <w:rFonts w:hint="default" w:ascii="Courier New" w:hAnsi="Courier New"/>
      </w:rPr>
    </w:lvl>
    <w:lvl w:ilvl="2" w:tplc="963E6D52">
      <w:start w:val="1"/>
      <w:numFmt w:val="bullet"/>
      <w:lvlText w:val=""/>
      <w:lvlJc w:val="left"/>
      <w:pPr>
        <w:ind w:left="2160" w:hanging="360"/>
      </w:pPr>
      <w:rPr>
        <w:rFonts w:hint="default" w:ascii="Wingdings" w:hAnsi="Wingdings"/>
      </w:rPr>
    </w:lvl>
    <w:lvl w:ilvl="3" w:tplc="6DEA1F36">
      <w:start w:val="1"/>
      <w:numFmt w:val="bullet"/>
      <w:lvlText w:val=""/>
      <w:lvlJc w:val="left"/>
      <w:pPr>
        <w:ind w:left="2880" w:hanging="360"/>
      </w:pPr>
      <w:rPr>
        <w:rFonts w:hint="default" w:ascii="Symbol" w:hAnsi="Symbol"/>
      </w:rPr>
    </w:lvl>
    <w:lvl w:ilvl="4" w:tplc="BBC6333C">
      <w:start w:val="1"/>
      <w:numFmt w:val="bullet"/>
      <w:lvlText w:val="o"/>
      <w:lvlJc w:val="left"/>
      <w:pPr>
        <w:ind w:left="3600" w:hanging="360"/>
      </w:pPr>
      <w:rPr>
        <w:rFonts w:hint="default" w:ascii="Courier New" w:hAnsi="Courier New"/>
      </w:rPr>
    </w:lvl>
    <w:lvl w:ilvl="5" w:tplc="E682954C">
      <w:start w:val="1"/>
      <w:numFmt w:val="bullet"/>
      <w:lvlText w:val=""/>
      <w:lvlJc w:val="left"/>
      <w:pPr>
        <w:ind w:left="4320" w:hanging="360"/>
      </w:pPr>
      <w:rPr>
        <w:rFonts w:hint="default" w:ascii="Wingdings" w:hAnsi="Wingdings"/>
      </w:rPr>
    </w:lvl>
    <w:lvl w:ilvl="6" w:tplc="0B1CB04E">
      <w:start w:val="1"/>
      <w:numFmt w:val="bullet"/>
      <w:lvlText w:val=""/>
      <w:lvlJc w:val="left"/>
      <w:pPr>
        <w:ind w:left="5040" w:hanging="360"/>
      </w:pPr>
      <w:rPr>
        <w:rFonts w:hint="default" w:ascii="Symbol" w:hAnsi="Symbol"/>
      </w:rPr>
    </w:lvl>
    <w:lvl w:ilvl="7" w:tplc="367E0082">
      <w:start w:val="1"/>
      <w:numFmt w:val="bullet"/>
      <w:lvlText w:val="o"/>
      <w:lvlJc w:val="left"/>
      <w:pPr>
        <w:ind w:left="5760" w:hanging="360"/>
      </w:pPr>
      <w:rPr>
        <w:rFonts w:hint="default" w:ascii="Courier New" w:hAnsi="Courier New"/>
      </w:rPr>
    </w:lvl>
    <w:lvl w:ilvl="8" w:tplc="B6D0C718">
      <w:start w:val="1"/>
      <w:numFmt w:val="bullet"/>
      <w:lvlText w:val=""/>
      <w:lvlJc w:val="left"/>
      <w:pPr>
        <w:ind w:left="6480" w:hanging="360"/>
      </w:pPr>
      <w:rPr>
        <w:rFonts w:hint="default" w:ascii="Wingdings" w:hAnsi="Wingdings"/>
      </w:rPr>
    </w:lvl>
  </w:abstractNum>
  <w:num w:numId="1" w16cid:durableId="250352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11A30D"/>
    <w:rsid w:val="0001127B"/>
    <w:rsid w:val="000242F8"/>
    <w:rsid w:val="00082EF4"/>
    <w:rsid w:val="000E59B3"/>
    <w:rsid w:val="00131B13"/>
    <w:rsid w:val="00132EFA"/>
    <w:rsid w:val="0018641F"/>
    <w:rsid w:val="001D10DD"/>
    <w:rsid w:val="001F0FCE"/>
    <w:rsid w:val="002576D5"/>
    <w:rsid w:val="0026122E"/>
    <w:rsid w:val="00285901"/>
    <w:rsid w:val="002C04B5"/>
    <w:rsid w:val="002C40E2"/>
    <w:rsid w:val="003171F0"/>
    <w:rsid w:val="003E7BC7"/>
    <w:rsid w:val="004208AF"/>
    <w:rsid w:val="00420B9D"/>
    <w:rsid w:val="0048008B"/>
    <w:rsid w:val="00492F1B"/>
    <w:rsid w:val="004D0F9E"/>
    <w:rsid w:val="004D21C2"/>
    <w:rsid w:val="004D247C"/>
    <w:rsid w:val="005B59A8"/>
    <w:rsid w:val="00604BDD"/>
    <w:rsid w:val="00622BF3"/>
    <w:rsid w:val="00765F6C"/>
    <w:rsid w:val="008542FB"/>
    <w:rsid w:val="00954414"/>
    <w:rsid w:val="00960A21"/>
    <w:rsid w:val="00994302"/>
    <w:rsid w:val="009A4E45"/>
    <w:rsid w:val="009C0347"/>
    <w:rsid w:val="009F4E40"/>
    <w:rsid w:val="00A20A06"/>
    <w:rsid w:val="00A2713F"/>
    <w:rsid w:val="00A377C6"/>
    <w:rsid w:val="00AC6D63"/>
    <w:rsid w:val="00B14A8E"/>
    <w:rsid w:val="00BB090E"/>
    <w:rsid w:val="00C551A0"/>
    <w:rsid w:val="00C960A5"/>
    <w:rsid w:val="00CD252C"/>
    <w:rsid w:val="00D24195"/>
    <w:rsid w:val="00D26694"/>
    <w:rsid w:val="00D44642"/>
    <w:rsid w:val="00D814C1"/>
    <w:rsid w:val="00DB4CBC"/>
    <w:rsid w:val="00DD6DC4"/>
    <w:rsid w:val="00E81CA5"/>
    <w:rsid w:val="00E93F80"/>
    <w:rsid w:val="00F56A5C"/>
    <w:rsid w:val="00FF42E7"/>
    <w:rsid w:val="020DEA64"/>
    <w:rsid w:val="04634BB3"/>
    <w:rsid w:val="046FBE28"/>
    <w:rsid w:val="04E0683D"/>
    <w:rsid w:val="04F6D2F4"/>
    <w:rsid w:val="056F2E76"/>
    <w:rsid w:val="05D0E8AB"/>
    <w:rsid w:val="0635974F"/>
    <w:rsid w:val="064A7366"/>
    <w:rsid w:val="066DA719"/>
    <w:rsid w:val="069C1827"/>
    <w:rsid w:val="06C377A0"/>
    <w:rsid w:val="072CA00C"/>
    <w:rsid w:val="07574E7D"/>
    <w:rsid w:val="075914A2"/>
    <w:rsid w:val="07922BCB"/>
    <w:rsid w:val="08082AC0"/>
    <w:rsid w:val="08E3220D"/>
    <w:rsid w:val="099F07E2"/>
    <w:rsid w:val="0C7A8439"/>
    <w:rsid w:val="0D7DD393"/>
    <w:rsid w:val="0E70CC4D"/>
    <w:rsid w:val="0ED60829"/>
    <w:rsid w:val="0F02314B"/>
    <w:rsid w:val="0F919D12"/>
    <w:rsid w:val="100B9D87"/>
    <w:rsid w:val="12FE5534"/>
    <w:rsid w:val="13388837"/>
    <w:rsid w:val="14C8F32F"/>
    <w:rsid w:val="15CC4B36"/>
    <w:rsid w:val="16F63A55"/>
    <w:rsid w:val="197D92BC"/>
    <w:rsid w:val="19888D91"/>
    <w:rsid w:val="1B6AF62A"/>
    <w:rsid w:val="1BA8C9BE"/>
    <w:rsid w:val="1C8B36A3"/>
    <w:rsid w:val="1DED3D50"/>
    <w:rsid w:val="1E61FAAF"/>
    <w:rsid w:val="202EB29C"/>
    <w:rsid w:val="2042E538"/>
    <w:rsid w:val="21DF1EB3"/>
    <w:rsid w:val="2302C42F"/>
    <w:rsid w:val="24688D75"/>
    <w:rsid w:val="2637B392"/>
    <w:rsid w:val="27EA39E7"/>
    <w:rsid w:val="2802DA11"/>
    <w:rsid w:val="2906E2AF"/>
    <w:rsid w:val="2BDAEB58"/>
    <w:rsid w:val="2C5163E5"/>
    <w:rsid w:val="2DB89F65"/>
    <w:rsid w:val="2EC77983"/>
    <w:rsid w:val="2FEC42F5"/>
    <w:rsid w:val="3187CEBB"/>
    <w:rsid w:val="32E3C1FD"/>
    <w:rsid w:val="3571A4AE"/>
    <w:rsid w:val="35AFF158"/>
    <w:rsid w:val="35D20AEF"/>
    <w:rsid w:val="361D30C0"/>
    <w:rsid w:val="37D7570B"/>
    <w:rsid w:val="37E8092A"/>
    <w:rsid w:val="385660E6"/>
    <w:rsid w:val="393486E1"/>
    <w:rsid w:val="39CE9298"/>
    <w:rsid w:val="39D2024B"/>
    <w:rsid w:val="3B03458F"/>
    <w:rsid w:val="3B402E5C"/>
    <w:rsid w:val="3BF3251D"/>
    <w:rsid w:val="3BF72AD7"/>
    <w:rsid w:val="3DDA3677"/>
    <w:rsid w:val="3E2582D1"/>
    <w:rsid w:val="3F07FE83"/>
    <w:rsid w:val="3F0CAC2D"/>
    <w:rsid w:val="41551E17"/>
    <w:rsid w:val="419643C8"/>
    <w:rsid w:val="429A9107"/>
    <w:rsid w:val="43DF3702"/>
    <w:rsid w:val="4458FD57"/>
    <w:rsid w:val="446D98EA"/>
    <w:rsid w:val="447AEC79"/>
    <w:rsid w:val="447F5114"/>
    <w:rsid w:val="453BB68B"/>
    <w:rsid w:val="4679D34D"/>
    <w:rsid w:val="468F757B"/>
    <w:rsid w:val="47732BED"/>
    <w:rsid w:val="483CE112"/>
    <w:rsid w:val="490D689E"/>
    <w:rsid w:val="4A06EAF3"/>
    <w:rsid w:val="4D489B1C"/>
    <w:rsid w:val="4DCDF86F"/>
    <w:rsid w:val="4E7032C0"/>
    <w:rsid w:val="5183A334"/>
    <w:rsid w:val="518FF541"/>
    <w:rsid w:val="51B87BA3"/>
    <w:rsid w:val="536F73BB"/>
    <w:rsid w:val="55D52EB0"/>
    <w:rsid w:val="55E7644A"/>
    <w:rsid w:val="569E1E57"/>
    <w:rsid w:val="57FC2C58"/>
    <w:rsid w:val="594652BD"/>
    <w:rsid w:val="5A86FDC7"/>
    <w:rsid w:val="5D4EA425"/>
    <w:rsid w:val="5E797B5F"/>
    <w:rsid w:val="5ECF1075"/>
    <w:rsid w:val="5F05A727"/>
    <w:rsid w:val="6078522F"/>
    <w:rsid w:val="608B4517"/>
    <w:rsid w:val="60F17E34"/>
    <w:rsid w:val="60F67504"/>
    <w:rsid w:val="629053B2"/>
    <w:rsid w:val="6567AD3F"/>
    <w:rsid w:val="66288832"/>
    <w:rsid w:val="66E14052"/>
    <w:rsid w:val="673A1AED"/>
    <w:rsid w:val="67F81680"/>
    <w:rsid w:val="69E08AF6"/>
    <w:rsid w:val="6AC0F7E9"/>
    <w:rsid w:val="6B24D8F9"/>
    <w:rsid w:val="6C5DA9CC"/>
    <w:rsid w:val="6C69A645"/>
    <w:rsid w:val="6D585C33"/>
    <w:rsid w:val="6EFF3480"/>
    <w:rsid w:val="6F4FC31B"/>
    <w:rsid w:val="6F9FD816"/>
    <w:rsid w:val="7111A30D"/>
    <w:rsid w:val="7262EA6E"/>
    <w:rsid w:val="73E95FB1"/>
    <w:rsid w:val="74D57796"/>
    <w:rsid w:val="75C31BEA"/>
    <w:rsid w:val="75C36741"/>
    <w:rsid w:val="779BF63B"/>
    <w:rsid w:val="77B1C383"/>
    <w:rsid w:val="787B2C4A"/>
    <w:rsid w:val="78BB439A"/>
    <w:rsid w:val="79617B47"/>
    <w:rsid w:val="7AAD6D3E"/>
    <w:rsid w:val="7AF0350C"/>
    <w:rsid w:val="7B6F02F0"/>
    <w:rsid w:val="7C027A2A"/>
    <w:rsid w:val="7D29E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11A30D"/>
  <w15:chartTrackingRefBased/>
  <w15:docId w15:val="{CA13BDB7-B401-43B2-8DB5-EFF2CC47B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NoSpacing">
    <w:name w:val="No Spacing"/>
    <w:uiPriority w:val="1"/>
    <w:qFormat/>
    <w:pPr>
      <w:spacing w:after="0" w:line="240" w:lineRule="auto"/>
    </w:pPr>
  </w:style>
  <w:style w:type="character" w:styleId="FollowedHyperlink">
    <w:name w:val="FollowedHyperlink"/>
    <w:basedOn w:val="DefaultParagraphFont"/>
    <w:uiPriority w:val="99"/>
    <w:semiHidden/>
    <w:unhideWhenUsed/>
    <w:rsid w:val="009F4E40"/>
    <w:rPr>
      <w:color w:val="96607D" w:themeColor="followedHyperlink"/>
      <w:u w:val="single"/>
    </w:rPr>
  </w:style>
  <w:style w:type="character" w:styleId="UnresolvedMention">
    <w:name w:val="Unresolved Mention"/>
    <w:basedOn w:val="DefaultParagraphFont"/>
    <w:uiPriority w:val="99"/>
    <w:semiHidden/>
    <w:unhideWhenUsed/>
    <w:rsid w:val="00C551A0"/>
    <w:rPr>
      <w:color w:val="605E5C"/>
      <w:shd w:val="clear" w:color="auto" w:fill="E1DFDD"/>
    </w:rPr>
  </w:style>
  <w:style w:type="paragraph" w:styleId="ListParagraph">
    <w:name w:val="List Paragraph"/>
    <w:basedOn w:val="Normal"/>
    <w:uiPriority w:val="34"/>
    <w:qFormat/>
    <w:rsid w:val="00622BF3"/>
    <w:pPr>
      <w:ind w:left="720"/>
      <w:contextualSpacing/>
    </w:pPr>
  </w:style>
  <w:style w:type="paragraph" w:styleId="Footer">
    <w:name w:val="footer"/>
    <w:basedOn w:val="Normal"/>
    <w:link w:val="FooterChar"/>
    <w:uiPriority w:val="99"/>
    <w:semiHidden/>
    <w:unhideWhenUsed/>
    <w:rsid w:val="001F0FCE"/>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1F0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855200">
      <w:bodyDiv w:val="1"/>
      <w:marLeft w:val="0"/>
      <w:marRight w:val="0"/>
      <w:marTop w:val="0"/>
      <w:marBottom w:val="0"/>
      <w:divBdr>
        <w:top w:val="none" w:sz="0" w:space="0" w:color="auto"/>
        <w:left w:val="none" w:sz="0" w:space="0" w:color="auto"/>
        <w:bottom w:val="none" w:sz="0" w:space="0" w:color="auto"/>
        <w:right w:val="none" w:sz="0" w:space="0" w:color="auto"/>
      </w:divBdr>
    </w:div>
    <w:div w:id="205319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itsloan.mit.edu/faculty/directory/georgia-perakis" TargetMode="External" Id="rId8" /><Relationship Type="http://schemas.openxmlformats.org/officeDocument/2006/relationships/hyperlink" Target="https://carey.jhu.edu/faculty/leann-thayaparan-phd-mba"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hitman.syracuse.edu/faculty-and-research/faculty-staff-directory/details/yliu623" TargetMode="External"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rotman.utoronto.ca/the-rotman-experience/our-community/people/romero-gonzalo/"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research.ibm.com/people/wei-sun" TargetMode="External" Id="rId10" /><Relationship Type="http://schemas.openxmlformats.org/officeDocument/2006/relationships/numbering" Target="numbering.xml" Id="rId4" /><Relationship Type="http://schemas.openxmlformats.org/officeDocument/2006/relationships/hyperlink" Target="https://engineering.nyu.edu/faculty/joline-uichanco" TargetMode="External" Id="rId9" /><Relationship Type="http://schemas.openxmlformats.org/officeDocument/2006/relationships/hyperlink" Target="https://mitsloan.mit.edu/staff/directory/pavithra-harsha"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7a6eba-380f-4197-9649-c18a761a2ed8">
      <Terms xmlns="http://schemas.microsoft.com/office/infopath/2007/PartnerControls"/>
    </lcf76f155ced4ddcb4097134ff3c332f>
    <TaxCatchAll xmlns="9677fc47-efcd-4de4-92b4-5f2e943fe0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B7EA2CB54F5E498B636116581EB5F4" ma:contentTypeVersion="12" ma:contentTypeDescription="Create a new document." ma:contentTypeScope="" ma:versionID="8d68411cf106d5ee765c536074015819">
  <xsd:schema xmlns:xsd="http://www.w3.org/2001/XMLSchema" xmlns:xs="http://www.w3.org/2001/XMLSchema" xmlns:p="http://schemas.microsoft.com/office/2006/metadata/properties" xmlns:ns2="f67a6eba-380f-4197-9649-c18a761a2ed8" xmlns:ns3="9677fc47-efcd-4de4-92b4-5f2e943fe0af" targetNamespace="http://schemas.microsoft.com/office/2006/metadata/properties" ma:root="true" ma:fieldsID="b35df9404ffa768efbf1139343889e71" ns2:_="" ns3:_="">
    <xsd:import namespace="f67a6eba-380f-4197-9649-c18a761a2ed8"/>
    <xsd:import namespace="9677fc47-efcd-4de4-92b4-5f2e943fe0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7a6eba-380f-4197-9649-c18a761a2e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4dd798-54fc-4a98-a97f-5b734a12fa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77fc47-efcd-4de4-92b4-5f2e943fe0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56db66-a2e4-4550-9ebb-3b28b3735c56}" ma:internalName="TaxCatchAll" ma:showField="CatchAllData" ma:web="9677fc47-efcd-4de4-92b4-5f2e943fe0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045DB0-4689-4379-A945-15197DC9C4B8}">
  <ds:schemaRefs>
    <ds:schemaRef ds:uri="http://schemas.microsoft.com/office/2006/metadata/properties"/>
    <ds:schemaRef ds:uri="http://schemas.microsoft.com/office/infopath/2007/PartnerControls"/>
    <ds:schemaRef ds:uri="f67a6eba-380f-4197-9649-c18a761a2ed8"/>
    <ds:schemaRef ds:uri="9677fc47-efcd-4de4-92b4-5f2e943fe0af"/>
  </ds:schemaRefs>
</ds:datastoreItem>
</file>

<file path=customXml/itemProps2.xml><?xml version="1.0" encoding="utf-8"?>
<ds:datastoreItem xmlns:ds="http://schemas.openxmlformats.org/officeDocument/2006/customXml" ds:itemID="{7066E786-9D0C-4AA5-84DF-E673FFF20B85}">
  <ds:schemaRefs>
    <ds:schemaRef ds:uri="http://schemas.microsoft.com/sharepoint/v3/contenttype/forms"/>
  </ds:schemaRefs>
</ds:datastoreItem>
</file>

<file path=customXml/itemProps3.xml><?xml version="1.0" encoding="utf-8"?>
<ds:datastoreItem xmlns:ds="http://schemas.openxmlformats.org/officeDocument/2006/customXml" ds:itemID="{C44FDB62-1AFE-48C1-BBCD-1DA83C3F2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7a6eba-380f-4197-9649-c18a761a2ed8"/>
    <ds:schemaRef ds:uri="9677fc47-efcd-4de4-92b4-5f2e943fe0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Julie A Niederhoff</dc:creator>
  <keywords/>
  <dc:description/>
  <lastModifiedBy>Dawn S McWilliams</lastModifiedBy>
  <revision>49</revision>
  <dcterms:created xsi:type="dcterms:W3CDTF">2024-06-27T16:44:00.0000000Z</dcterms:created>
  <dcterms:modified xsi:type="dcterms:W3CDTF">2025-10-07T19:25:33.4052433Z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0x010100BEB7EA2CB54F5E498B636116581EB5F4</vt:lpwstr>
  </property>
  <property fmtid="{D5CDD505-2E9C-101B-9397-08002B2CF9AE}" pid="3" name="MediaServiceImageTags">
    <vt:lpwstr/>
  </property>
  <property fmtid="{D5CDD505-2E9C-101B-9397-08002B2CF9AE}" pid="4" name="GrammarlyDocumentId">
    <vt:lpwstr>d0381868-a2e1-4e4d-bea5-4789f9959ab0</vt:lpwstr>
  </property>
</Properties>
</file>